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Rule="auto"/>
        <w:ind w:left="0" w:firstLine="0"/>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Rule="auto"/>
        <w:ind w:left="0" w:firstLine="0"/>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Rule="auto"/>
        <w:ind w:left="0" w:firstLine="0"/>
        <w:rPr>
          <w:rFonts w:ascii="Arial" w:cs="Arial" w:eastAsia="Arial" w:hAnsi="Arial"/>
          <w:b w:val="1"/>
          <w:color w:val="bf9000"/>
          <w:sz w:val="32"/>
          <w:szCs w:val="32"/>
        </w:rPr>
      </w:pPr>
      <w:r w:rsidDel="00000000" w:rsidR="00000000" w:rsidRPr="00000000">
        <w:rPr>
          <w:rtl w:val="0"/>
        </w:rPr>
        <w:tab/>
        <w:t xml:space="preserve"> </w:t>
        <w:tab/>
        <w:t xml:space="preserve"> </w:t>
        <w:tab/>
        <w:t xml:space="preserve"> </w:t>
        <w:tab/>
      </w:r>
      <w:r w:rsidDel="00000000" w:rsidR="00000000" w:rsidRPr="00000000">
        <w:rPr>
          <w:rFonts w:ascii="Arial" w:cs="Arial" w:eastAsia="Arial" w:hAnsi="Arial"/>
          <w:b w:val="1"/>
          <w:color w:val="bf9000"/>
          <w:sz w:val="32"/>
          <w:szCs w:val="32"/>
          <w:rtl w:val="0"/>
        </w:rPr>
        <w:t xml:space="preserve">Trentodoc: le parole dei protagonisti</w:t>
      </w:r>
    </w:p>
    <w:p w:rsidR="00000000" w:rsidDel="00000000" w:rsidP="00000000" w:rsidRDefault="00000000" w:rsidRPr="00000000" w14:paraId="00000004">
      <w:pPr>
        <w:widowControl w:val="0"/>
        <w:tabs>
          <w:tab w:val="left" w:pos="220"/>
          <w:tab w:val="left" w:pos="720"/>
        </w:tabs>
        <w:spacing w:after="0" w:before="0" w:lineRule="auto"/>
        <w:jc w:val="center"/>
        <w:rPr>
          <w:rFonts w:ascii="Arial" w:cs="Arial" w:eastAsia="Arial" w:hAnsi="Arial"/>
          <w:b w:val="1"/>
          <w:color w:val="bf9000"/>
          <w:sz w:val="32"/>
          <w:szCs w:val="32"/>
        </w:rPr>
      </w:pPr>
      <w:r w:rsidDel="00000000" w:rsidR="00000000" w:rsidRPr="00000000">
        <w:rPr>
          <w:rtl w:val="0"/>
        </w:rPr>
      </w:r>
    </w:p>
    <w:p w:rsidR="00000000" w:rsidDel="00000000" w:rsidP="00000000" w:rsidRDefault="00000000" w:rsidRPr="00000000" w14:paraId="00000005">
      <w:pPr>
        <w:widowControl w:val="0"/>
        <w:tabs>
          <w:tab w:val="left" w:pos="220"/>
          <w:tab w:val="left" w:pos="720"/>
        </w:tabs>
        <w:spacing w:after="0" w:before="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Un metodo classico in grado di rappresentare il territorio, un nutrito comparto fatto di 64 case spumantistiche accomunate dalla ricerca dell’eccellenza con un totale di 220 etichette, la volontà di organizzare un evento raffinato ed esclusivo capace di coinvolgere produttori, esperti, appassionati, ma anche semplici ospiti: con queste premesse è stato organizzato Trentodoc Festival, l’appuntamento che il 7, 8, 9 ottobre animerà Trento e l’intera provincia. </w:t>
      </w:r>
    </w:p>
    <w:p w:rsidR="00000000" w:rsidDel="00000000" w:rsidP="00000000" w:rsidRDefault="00000000" w:rsidRPr="00000000" w14:paraId="00000006">
      <w:pPr>
        <w:widowControl w:val="0"/>
        <w:tabs>
          <w:tab w:val="left" w:pos="220"/>
          <w:tab w:val="left" w:pos="720"/>
        </w:tabs>
        <w:spacing w:after="0" w:before="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Un evento, voluto fortemente dall'Assessorato all’agricoltura, foreste, caccia e pesca, che vede la Provincia, con il sostegno di Trentino Marketing, collaborare con l’Istituto Trento Doc per valorizzare un prodotto distintivo del Trentino.</w:t>
      </w:r>
      <w:r w:rsidDel="00000000" w:rsidR="00000000" w:rsidRPr="00000000">
        <w:rPr>
          <w:rFonts w:ascii="Roboto" w:cs="Roboto" w:eastAsia="Roboto" w:hAnsi="Roboto"/>
          <w:b w:val="1"/>
          <w:color w:val="333333"/>
          <w:highlight w:val="white"/>
          <w:rtl w:val="0"/>
        </w:rPr>
        <w:t xml:space="preserve"> </w:t>
      </w:r>
      <w:r w:rsidDel="00000000" w:rsidR="00000000" w:rsidRPr="00000000">
        <w:rPr>
          <w:rtl w:val="0"/>
        </w:rPr>
      </w:r>
    </w:p>
    <w:p w:rsidR="00000000" w:rsidDel="00000000" w:rsidP="00000000" w:rsidRDefault="00000000" w:rsidRPr="00000000" w14:paraId="00000007">
      <w:pPr>
        <w:widowControl w:val="0"/>
        <w:tabs>
          <w:tab w:val="left" w:pos="220"/>
          <w:tab w:val="left" w:pos="720"/>
        </w:tabs>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tabs>
          <w:tab w:val="left" w:pos="220"/>
          <w:tab w:val="left" w:pos="720"/>
        </w:tabs>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shd w:fill="ffffff" w:val="clear"/>
        <w:tabs>
          <w:tab w:val="left" w:pos="220"/>
          <w:tab w:val="left" w:pos="720"/>
        </w:tabs>
        <w:jc w:val="both"/>
        <w:rPr>
          <w:rFonts w:ascii="Arial" w:cs="Arial" w:eastAsia="Arial" w:hAnsi="Arial"/>
          <w:color w:val="222222"/>
        </w:rPr>
      </w:pPr>
      <w:r w:rsidDel="00000000" w:rsidR="00000000" w:rsidRPr="00000000">
        <w:rPr>
          <w:rFonts w:ascii="Arial" w:cs="Arial" w:eastAsia="Arial" w:hAnsi="Arial"/>
          <w:color w:val="222222"/>
          <w:rtl w:val="0"/>
        </w:rPr>
        <w:t xml:space="preserve">Per </w:t>
      </w:r>
      <w:r w:rsidDel="00000000" w:rsidR="00000000" w:rsidRPr="00000000">
        <w:rPr>
          <w:rFonts w:ascii="Arial" w:cs="Arial" w:eastAsia="Arial" w:hAnsi="Arial"/>
          <w:b w:val="1"/>
          <w:color w:val="222222"/>
          <w:rtl w:val="0"/>
        </w:rPr>
        <w:t xml:space="preserve">l’assessore provinciale all’agricoltura, foreste, caccia e pesca</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color w:val="222222"/>
          <w:rtl w:val="0"/>
        </w:rPr>
        <w:t xml:space="preserve">il Festival </w:t>
      </w:r>
      <w:r w:rsidDel="00000000" w:rsidR="00000000" w:rsidRPr="00000000">
        <w:rPr>
          <w:rFonts w:ascii="Arial" w:cs="Arial" w:eastAsia="Arial" w:hAnsi="Arial"/>
          <w:color w:val="333333"/>
          <w:highlight w:val="white"/>
          <w:rtl w:val="0"/>
        </w:rPr>
        <w:t xml:space="preserve">Trentodoc è stato pensato come evento per valorizzare il Trentino dal punto di vista vitivinicolo, enologico, ma anche economico e turistico: Trentodoc è il nostro ambasciatore delle bollicine di montagna, la sua </w:t>
      </w:r>
      <w:r w:rsidDel="00000000" w:rsidR="00000000" w:rsidRPr="00000000">
        <w:rPr>
          <w:rFonts w:ascii="Arial" w:cs="Arial" w:eastAsia="Arial" w:hAnsi="Arial"/>
          <w:color w:val="222222"/>
          <w:rtl w:val="0"/>
        </w:rPr>
        <w:t xml:space="preserve">l’identità </w:t>
      </w:r>
      <w:r w:rsidDel="00000000" w:rsidR="00000000" w:rsidRPr="00000000">
        <w:rPr>
          <w:rFonts w:ascii="Arial" w:cs="Arial" w:eastAsia="Arial" w:hAnsi="Arial"/>
          <w:color w:val="333333"/>
          <w:highlight w:val="white"/>
          <w:rtl w:val="0"/>
        </w:rPr>
        <w:t xml:space="preserve">va oltre i confini del Trentino. L’impegno, la passione e la competenza dei coltivatori e delle loro case spumantistiche sono il tratto distintivo del metodo classico trentino, espresso attraverso le diverse etichette, tutte di assoluta qualità come confermano i tanti premi conquistati ogni anno. </w:t>
      </w:r>
      <w:r w:rsidDel="00000000" w:rsidR="00000000" w:rsidRPr="00000000">
        <w:rPr>
          <w:rFonts w:ascii="Arial" w:cs="Arial" w:eastAsia="Arial" w:hAnsi="Arial"/>
          <w:color w:val="222222"/>
          <w:rtl w:val="0"/>
        </w:rPr>
        <w:t xml:space="preserve">Questo festival rappresenta poi un’occasione importante per i nostri ospiti, oltre che per i residenti, di conoscere da vicino la filiera tradizionale del Trentodoc, di assaporare i valori autentici </w:t>
      </w:r>
      <w:r w:rsidDel="00000000" w:rsidR="00000000" w:rsidRPr="00000000">
        <w:rPr>
          <w:rFonts w:ascii="Arial" w:cs="Arial" w:eastAsia="Arial" w:hAnsi="Arial"/>
          <w:color w:val="333333"/>
          <w:highlight w:val="white"/>
          <w:rtl w:val="0"/>
        </w:rPr>
        <w:t xml:space="preserve">della nostra terra, che vanta una tradizione spumantistica secolare che l'Istituto Trentodoc coordina e valorizza in un'ottica di filiera.</w:t>
      </w:r>
      <w:r w:rsidDel="00000000" w:rsidR="00000000" w:rsidRPr="00000000">
        <w:rPr>
          <w:rtl w:val="0"/>
        </w:rPr>
      </w:r>
    </w:p>
    <w:p w:rsidR="00000000" w:rsidDel="00000000" w:rsidP="00000000" w:rsidRDefault="00000000" w:rsidRPr="00000000" w14:paraId="0000000A">
      <w:pPr>
        <w:widowControl w:val="0"/>
        <w:shd w:fill="ffffff" w:val="clear"/>
        <w:tabs>
          <w:tab w:val="left" w:pos="220"/>
          <w:tab w:val="left" w:pos="720"/>
        </w:tabs>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0B">
      <w:pPr>
        <w:widowControl w:val="0"/>
        <w:shd w:fill="ffffff" w:val="clear"/>
        <w:tabs>
          <w:tab w:val="left" w:pos="220"/>
          <w:tab w:val="left" w:pos="720"/>
        </w:tabs>
        <w:jc w:val="both"/>
        <w:rPr>
          <w:rFonts w:ascii="Arial" w:cs="Arial" w:eastAsia="Arial" w:hAnsi="Arial"/>
          <w:color w:val="222222"/>
          <w:highlight w:val="white"/>
        </w:rPr>
      </w:pPr>
      <w:r w:rsidDel="00000000" w:rsidR="00000000" w:rsidRPr="00000000">
        <w:rPr>
          <w:rFonts w:ascii="Arial" w:cs="Arial" w:eastAsia="Arial" w:hAnsi="Arial"/>
          <w:color w:val="222222"/>
          <w:rtl w:val="0"/>
        </w:rPr>
        <w:t xml:space="preserve">Per il presidente dell’Istituto Trento Doc </w:t>
      </w:r>
      <w:r w:rsidDel="00000000" w:rsidR="00000000" w:rsidRPr="00000000">
        <w:rPr>
          <w:rFonts w:ascii="Arial" w:cs="Arial" w:eastAsia="Arial" w:hAnsi="Arial"/>
          <w:b w:val="1"/>
          <w:color w:val="222222"/>
          <w:rtl w:val="0"/>
        </w:rPr>
        <w:t xml:space="preserve">Enrico Zanoni</w:t>
      </w:r>
      <w:r w:rsidDel="00000000" w:rsidR="00000000" w:rsidRPr="00000000">
        <w:rPr>
          <w:rFonts w:ascii="Arial" w:cs="Arial" w:eastAsia="Arial" w:hAnsi="Arial"/>
          <w:color w:val="222222"/>
          <w:rtl w:val="0"/>
        </w:rPr>
        <w:t xml:space="preserve"> “la prima edizione del Festival Trentodoc, rappresentata per i produttori associati all'Istituto una significativa tappa di un percorso iniziato nel 1993, con il riconoscimento della Doc Trento. Tappa che riconosce l'importante lavoro di costante ricerca dell'eccellenza produttiva e suggella la perfetta simbiosi con il territorio che, grazie alle sue peculiari e uniche caratteristiche, è, e ancor più sarà (in uno scenario di cambiamenti climatici), il vero vantaggio competitivo. Ringrazio tutti gli enti (PAT, Trentino Marketing) che assieme all'Istituto hanno permesso di </w:t>
      </w:r>
      <w:r w:rsidDel="00000000" w:rsidR="00000000" w:rsidRPr="00000000">
        <w:rPr>
          <w:rFonts w:ascii="Arial" w:cs="Arial" w:eastAsia="Arial" w:hAnsi="Arial"/>
          <w:color w:val="222222"/>
          <w:highlight w:val="white"/>
          <w:rtl w:val="0"/>
        </w:rPr>
        <w:t xml:space="preserve">realizzare questa prima edizione, certo che sarà l'inizio di un altrettanto rilevante percorso che ci porterà a nuovi importanti traguardi”. </w:t>
      </w:r>
    </w:p>
    <w:p w:rsidR="00000000" w:rsidDel="00000000" w:rsidP="00000000" w:rsidRDefault="00000000" w:rsidRPr="00000000" w14:paraId="0000000C">
      <w:pPr>
        <w:tabs>
          <w:tab w:val="left" w:pos="220"/>
          <w:tab w:val="left" w:pos="720"/>
        </w:tabs>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0D">
      <w:pPr>
        <w:tabs>
          <w:tab w:val="left" w:pos="220"/>
          <w:tab w:val="left" w:pos="720"/>
        </w:tabs>
        <w:jc w:val="both"/>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Maurizio Rossini</w:t>
      </w:r>
      <w:r w:rsidDel="00000000" w:rsidR="00000000" w:rsidRPr="00000000">
        <w:rPr>
          <w:rFonts w:ascii="Arial" w:cs="Arial" w:eastAsia="Arial" w:hAnsi="Arial"/>
          <w:color w:val="222222"/>
          <w:highlight w:val="white"/>
          <w:rtl w:val="0"/>
        </w:rPr>
        <w:t xml:space="preserve">, amministratore delegato di Trentino Marketing, spiega come questo primo Festival dedicato al Trentodoc “è stato pensato non per coinvolgere grandi numeri, ma per proporre la nostra eccellenza internazionale attraverso piccoli appuntamenti esclusivi che animeranno il centro storico di Trento con i palazzi antichi, le corti e altri luoghi insoliti, oltre ad eventi ed esperienze nelle case spumantistiche di tutto il territorio, dove il pubblico potrà scoprire e gustare questo prodotto unico.</w:t>
      </w:r>
    </w:p>
    <w:p w:rsidR="00000000" w:rsidDel="00000000" w:rsidP="00000000" w:rsidRDefault="00000000" w:rsidRPr="00000000" w14:paraId="0000000E">
      <w:pPr>
        <w:tabs>
          <w:tab w:val="left" w:pos="220"/>
          <w:tab w:val="left" w:pos="720"/>
        </w:tabs>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F">
      <w:pPr>
        <w:tabs>
          <w:tab w:val="left" w:pos="220"/>
          <w:tab w:val="left" w:pos="720"/>
        </w:tabs>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0">
      <w:pPr>
        <w:tabs>
          <w:tab w:val="left" w:pos="220"/>
          <w:tab w:val="left" w:pos="720"/>
        </w:tabs>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1">
      <w:pPr>
        <w:tabs>
          <w:tab w:val="left" w:pos="220"/>
          <w:tab w:val="left" w:pos="720"/>
        </w:tabs>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2">
      <w:pPr>
        <w:tabs>
          <w:tab w:val="left" w:pos="220"/>
          <w:tab w:val="left" w:pos="720"/>
        </w:tabs>
        <w:jc w:val="both"/>
        <w:rPr/>
      </w:pPr>
      <w:r w:rsidDel="00000000" w:rsidR="00000000" w:rsidRPr="00000000">
        <w:rPr>
          <w:rFonts w:ascii="Arial" w:cs="Arial" w:eastAsia="Arial" w:hAnsi="Arial"/>
          <w:color w:val="222222"/>
          <w:highlight w:val="white"/>
          <w:rtl w:val="0"/>
        </w:rPr>
        <w:t xml:space="preserve"> Abbiamo chiesto e subito ottenuto un forte coinvolgimento delle categorie produttive della città e del territorio, ristoranti, enoteche, bar e attività commerciali. E oggi possiamo presentare un programma che riunisce oltre 70 eventi e circa 60 ospiti nazionali e internazionali che, insieme, definiranno un racconto a più voci, in equilibrio tra leggerezza e approfondimento culturale di questo prodotto che mai come in questi ultimi anni ha avuto la capacità di rappresentare e dare prestigio a questa città e a tutto il Trentino”.</w:t>
      </w:r>
      <w:r w:rsidDel="00000000" w:rsidR="00000000" w:rsidRPr="00000000">
        <w:rPr>
          <w:rtl w:val="0"/>
        </w:rPr>
      </w:r>
    </w:p>
    <w:p w:rsidR="00000000" w:rsidDel="00000000" w:rsidP="00000000" w:rsidRDefault="00000000" w:rsidRPr="00000000" w14:paraId="00000013">
      <w:pPr>
        <w:tabs>
          <w:tab w:val="left" w:pos="220"/>
          <w:tab w:val="left" w:pos="720"/>
        </w:tabs>
        <w:rPr/>
      </w:pPr>
      <w:r w:rsidDel="00000000" w:rsidR="00000000" w:rsidRPr="00000000">
        <w:rPr>
          <w:rtl w:val="0"/>
        </w:rPr>
        <w:t xml:space="preserve"> </w:t>
      </w:r>
    </w:p>
    <w:p w:rsidR="00000000" w:rsidDel="00000000" w:rsidP="00000000" w:rsidRDefault="00000000" w:rsidRPr="00000000" w14:paraId="00000014">
      <w:pPr>
        <w:tabs>
          <w:tab w:val="left" w:pos="220"/>
          <w:tab w:val="left" w:pos="720"/>
        </w:tabs>
        <w:rPr/>
      </w:pPr>
      <w:r w:rsidDel="00000000" w:rsidR="00000000" w:rsidRPr="00000000">
        <w:rPr>
          <w:rtl w:val="0"/>
        </w:rPr>
      </w:r>
    </w:p>
    <w:p w:rsidR="00000000" w:rsidDel="00000000" w:rsidP="00000000" w:rsidRDefault="00000000" w:rsidRPr="00000000" w14:paraId="00000015">
      <w:pPr>
        <w:tabs>
          <w:tab w:val="left" w:pos="220"/>
          <w:tab w:val="left" w:pos="720"/>
        </w:tabs>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Rule="auto"/>
        <w:ind w:left="720" w:firstLine="0"/>
        <w:rPr>
          <w:rFonts w:ascii="Arial" w:cs="Arial" w:eastAsia="Arial" w:hAnsi="Arial"/>
          <w:b w:val="1"/>
          <w:color w:val="ffffff"/>
          <w:highlight w:val="white"/>
        </w:rPr>
      </w:pPr>
      <w:r w:rsidDel="00000000" w:rsidR="00000000" w:rsidRPr="00000000">
        <w:rPr>
          <w:rtl w:val="0"/>
        </w:rPr>
      </w:r>
    </w:p>
    <w:sectPr>
      <w:headerReference r:id="rId6" w:type="default"/>
      <w:footerReference r:id="rId7" w:type="default"/>
      <w:pgSz w:h="16840" w:w="11900" w:orient="portrait"/>
      <w:pgMar w:bottom="1440" w:top="1440" w:left="1275.590551181102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47626</wp:posOffset>
          </wp:positionV>
          <wp:extent cx="5731200" cy="5842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584200"/>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-138112</wp:posOffset>
          </wp:positionH>
          <wp:positionV relativeFrom="paragraph">
            <wp:posOffset>47626</wp:posOffset>
          </wp:positionV>
          <wp:extent cx="6376988" cy="8001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76988"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