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11"/>
      </w:tblGrid>
      <w:tr w:rsidR="0081608F" w:rsidRPr="00DC3BB1" w14:paraId="5593A225" w14:textId="77777777" w:rsidTr="3E278692">
        <w:trPr>
          <w:trHeight w:val="1710"/>
        </w:trPr>
        <w:tc>
          <w:tcPr>
            <w:tcW w:w="5387" w:type="dxa"/>
          </w:tcPr>
          <w:p w14:paraId="6CD71C73" w14:textId="77777777" w:rsidR="0081608F" w:rsidRPr="00DC3BB1" w:rsidRDefault="0081608F" w:rsidP="00C96309">
            <w:pPr>
              <w:spacing w:after="0" w:line="600" w:lineRule="exact"/>
              <w:ind w:hanging="105"/>
              <w:rPr>
                <w:rFonts w:ascii="Segoe UI" w:hAnsi="Segoe UI" w:cs="Segoe UI"/>
                <w:sz w:val="56"/>
                <w:szCs w:val="56"/>
              </w:rPr>
            </w:pPr>
            <w:r w:rsidRPr="00DC3BB1">
              <w:rPr>
                <w:rFonts w:ascii="Segoe UI" w:hAnsi="Segoe UI" w:cs="Segoe UI"/>
                <w:sz w:val="56"/>
                <w:szCs w:val="56"/>
              </w:rPr>
              <w:t>Comunicato stampa</w:t>
            </w:r>
          </w:p>
        </w:tc>
        <w:tc>
          <w:tcPr>
            <w:tcW w:w="3911" w:type="dxa"/>
          </w:tcPr>
          <w:p w14:paraId="136B473D" w14:textId="3C277910" w:rsidR="0081608F" w:rsidRPr="00DC3BB1" w:rsidRDefault="0081608F" w:rsidP="00C96309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  <w:r w:rsidRPr="00DC3BB1">
              <w:rPr>
                <w:rFonts w:ascii="Segoe UI" w:hAnsi="Segoe UI" w:cs="Segoe UI"/>
                <w:sz w:val="18"/>
                <w:szCs w:val="18"/>
              </w:rPr>
              <w:t xml:space="preserve">Ufficio stampa: </w:t>
            </w:r>
            <w:r w:rsidR="002704A2">
              <w:rPr>
                <w:rFonts w:ascii="Segoe UI" w:hAnsi="Segoe UI" w:cs="Segoe UI"/>
                <w:sz w:val="18"/>
                <w:szCs w:val="18"/>
              </w:rPr>
              <w:t>Julia Rizzo</w:t>
            </w:r>
          </w:p>
          <w:p w14:paraId="1598B286" w14:textId="56BC1A9A" w:rsidR="0081608F" w:rsidRPr="00DC3BB1" w:rsidRDefault="0081608F" w:rsidP="00C96309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  <w:r w:rsidRPr="00DC3BB1">
              <w:rPr>
                <w:rFonts w:ascii="Segoe UI" w:hAnsi="Segoe UI" w:cs="Segoe UI"/>
                <w:sz w:val="18"/>
                <w:szCs w:val="18"/>
              </w:rPr>
              <w:t>+39 0471 969 51</w:t>
            </w:r>
            <w:r w:rsidR="002704A2">
              <w:rPr>
                <w:rFonts w:ascii="Segoe UI" w:hAnsi="Segoe UI" w:cs="Segoe UI"/>
                <w:sz w:val="18"/>
                <w:szCs w:val="18"/>
              </w:rPr>
              <w:t>6</w:t>
            </w:r>
          </w:p>
          <w:p w14:paraId="1E057D79" w14:textId="3151A8D2" w:rsidR="0081608F" w:rsidRPr="00DC3BB1" w:rsidRDefault="002704A2" w:rsidP="00C96309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Julia.rizzo</w:t>
            </w:r>
            <w:r w:rsidR="0081608F" w:rsidRPr="00DC3BB1">
              <w:rPr>
                <w:rFonts w:ascii="Segoe UI" w:hAnsi="Segoe UI" w:cs="Segoe UI"/>
                <w:sz w:val="18"/>
                <w:szCs w:val="18"/>
              </w:rPr>
              <w:t>@laimburg.it</w:t>
            </w:r>
          </w:p>
          <w:p w14:paraId="53AB46AD" w14:textId="77777777" w:rsidR="0081608F" w:rsidRPr="00DC3BB1" w:rsidRDefault="0081608F" w:rsidP="00C96309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  <w:r w:rsidRPr="00DC3BB1">
              <w:rPr>
                <w:rFonts w:ascii="Segoe UI" w:hAnsi="Segoe UI" w:cs="Segoe UI"/>
                <w:sz w:val="18"/>
                <w:szCs w:val="18"/>
              </w:rPr>
              <w:t>Centro di Sperimentazione Laimburg</w:t>
            </w:r>
          </w:p>
          <w:p w14:paraId="6CC32BC5" w14:textId="77777777" w:rsidR="0081608F" w:rsidRPr="00DC3BB1" w:rsidRDefault="0081608F" w:rsidP="00C96309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  <w:r w:rsidRPr="00DC3BB1">
              <w:rPr>
                <w:rFonts w:ascii="Segoe UI" w:hAnsi="Segoe UI" w:cs="Segoe UI"/>
                <w:sz w:val="18"/>
                <w:szCs w:val="18"/>
              </w:rPr>
              <w:t>Laimburg 6 – Vadena | 39040 Ora | Italia</w:t>
            </w:r>
          </w:p>
          <w:p w14:paraId="16730501" w14:textId="77777777" w:rsidR="0081608F" w:rsidRPr="00DC3BB1" w:rsidRDefault="0081608F" w:rsidP="00C96309">
            <w:pPr>
              <w:spacing w:after="0"/>
              <w:jc w:val="right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1BC05AC8" w14:textId="70502672" w:rsidR="0081608F" w:rsidRPr="00DC3BB1" w:rsidRDefault="00082F9A" w:rsidP="3E278692">
      <w:pPr>
        <w:pBdr>
          <w:bottom w:val="single" w:sz="4" w:space="1" w:color="000000"/>
        </w:pBdr>
        <w:spacing w:after="0" w:line="240" w:lineRule="auto"/>
        <w:jc w:val="right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19</w:t>
      </w:r>
      <w:r w:rsidR="0081608F" w:rsidRPr="00EB5FF2">
        <w:rPr>
          <w:rFonts w:ascii="Segoe UI" w:hAnsi="Segoe UI" w:cs="Segoe UI"/>
          <w:sz w:val="20"/>
          <w:szCs w:val="20"/>
        </w:rPr>
        <w:t>.</w:t>
      </w:r>
      <w:r w:rsidR="002704A2" w:rsidRPr="00EB5FF2">
        <w:rPr>
          <w:rFonts w:ascii="Segoe UI" w:hAnsi="Segoe UI" w:cs="Segoe UI"/>
          <w:sz w:val="20"/>
          <w:szCs w:val="20"/>
        </w:rPr>
        <w:t>0</w:t>
      </w:r>
      <w:r w:rsidR="009457EC">
        <w:rPr>
          <w:rFonts w:ascii="Segoe UI" w:hAnsi="Segoe UI" w:cs="Segoe UI"/>
          <w:sz w:val="20"/>
          <w:szCs w:val="20"/>
        </w:rPr>
        <w:t>3</w:t>
      </w:r>
      <w:r w:rsidR="0081608F" w:rsidRPr="00EB5FF2">
        <w:rPr>
          <w:rFonts w:ascii="Segoe UI" w:hAnsi="Segoe UI" w:cs="Segoe UI"/>
          <w:sz w:val="20"/>
          <w:szCs w:val="20"/>
        </w:rPr>
        <w:t>.202</w:t>
      </w:r>
      <w:r w:rsidR="002704A2" w:rsidRPr="00EB5FF2">
        <w:rPr>
          <w:rFonts w:ascii="Segoe UI" w:hAnsi="Segoe UI" w:cs="Segoe UI"/>
          <w:sz w:val="20"/>
          <w:szCs w:val="20"/>
        </w:rPr>
        <w:t>6</w:t>
      </w:r>
    </w:p>
    <w:p w14:paraId="3D676F5E" w14:textId="77777777" w:rsidR="0081608F" w:rsidRPr="0081608F" w:rsidRDefault="0081608F" w:rsidP="0081608F">
      <w:pPr>
        <w:spacing w:after="0" w:line="240" w:lineRule="auto"/>
        <w:jc w:val="both"/>
        <w:rPr>
          <w:rFonts w:ascii="Segoe UI" w:eastAsia="Segoe UI" w:hAnsi="Segoe UI" w:cs="Segoe UI"/>
          <w:b/>
          <w:bCs/>
          <w:color w:val="000000" w:themeColor="text1"/>
        </w:rPr>
      </w:pPr>
    </w:p>
    <w:p w14:paraId="246D9C90" w14:textId="64630693" w:rsidR="00854EA5" w:rsidRDefault="00947E34" w:rsidP="00E361CD">
      <w:pPr>
        <w:spacing w:after="0" w:line="240" w:lineRule="auto"/>
        <w:jc w:val="both"/>
        <w:rPr>
          <w:rFonts w:ascii="Segoe UI" w:eastAsia="Segoe UI" w:hAnsi="Segoe UI" w:cs="Segoe UI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947E34">
        <w:rPr>
          <w:rFonts w:ascii="Segoe UI" w:eastAsia="Segoe UI" w:hAnsi="Segoe UI" w:cs="Segoe UI"/>
          <w:b/>
          <w:bCs/>
          <w:color w:val="000000" w:themeColor="text1"/>
          <w:kern w:val="0"/>
          <w:sz w:val="36"/>
          <w:szCs w:val="36"/>
          <w14:ligatures w14:val="none"/>
        </w:rPr>
        <w:t>Giornata del vino e della vite: ricerca, clima e nuovi consumi al centro dell’incontro</w:t>
      </w:r>
    </w:p>
    <w:p w14:paraId="0E5DAC48" w14:textId="77777777" w:rsidR="00947E34" w:rsidRPr="0048219C" w:rsidRDefault="00947E34" w:rsidP="00E361CD">
      <w:pPr>
        <w:spacing w:after="0" w:line="240" w:lineRule="auto"/>
        <w:jc w:val="both"/>
        <w:rPr>
          <w:rFonts w:ascii="Segoe UI" w:eastAsia="Segoe UI" w:hAnsi="Segoe UI" w:cs="Segoe UI"/>
          <w:b/>
          <w:bCs/>
          <w:color w:val="000000" w:themeColor="text1"/>
          <w:kern w:val="0"/>
          <w:sz w:val="20"/>
          <w:szCs w:val="20"/>
          <w14:ligatures w14:val="none"/>
        </w:rPr>
      </w:pPr>
    </w:p>
    <w:p w14:paraId="59F70D31" w14:textId="2E223704" w:rsidR="006C4736" w:rsidRDefault="004A3421" w:rsidP="006C4736">
      <w:pPr>
        <w:spacing w:after="0" w:line="240" w:lineRule="auto"/>
        <w:jc w:val="both"/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</w:pPr>
      <w:r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 xml:space="preserve">Oltre 100 persone </w:t>
      </w:r>
      <w:r w:rsidR="00535F72" w:rsidRPr="00535F72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>hanno partecipato giovedì 19 marzo 2026 alla</w:t>
      </w:r>
      <w:r w:rsidR="005028ED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 xml:space="preserve"> tradizionale</w:t>
      </w:r>
      <w:r w:rsidR="00535F72" w:rsidRPr="00535F72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 xml:space="preserve"> Giornata del vino e della vite organizzata dal Centro di Sperimentazione Laimburg, per informarsi sulle più recenti conoscenze</w:t>
      </w:r>
      <w:r w:rsidR="005028ED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 xml:space="preserve"> della ricerca scientifica </w:t>
      </w:r>
      <w:r w:rsidR="00535F72" w:rsidRPr="00535F72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>in viticoltura e</w:t>
      </w:r>
      <w:r w:rsidR="00EC3F42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 xml:space="preserve">d </w:t>
      </w:r>
      <w:r w:rsidR="00535F72" w:rsidRPr="00535F72">
        <w:rPr>
          <w:rFonts w:ascii="Segoe UI" w:eastAsia="Segoe UI" w:hAnsi="Segoe UI" w:cs="Segoe UI"/>
          <w:color w:val="00A16C"/>
          <w:kern w:val="0"/>
          <w:sz w:val="20"/>
          <w:szCs w:val="20"/>
          <w14:ligatures w14:val="none"/>
        </w:rPr>
        <w:t>enologia. Le relazioni tecniche, il confronto diretto con esperte ed esperti del settore e la degustazione di vini sperimentali hanno offerto una panoramica completa sulla ricerca applicata e sulle prospettive future del comparto vitivinicolo in Alto Adige.</w:t>
      </w:r>
    </w:p>
    <w:p w14:paraId="659C2A83" w14:textId="77777777" w:rsidR="00535F72" w:rsidRDefault="00535F72" w:rsidP="006C4736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021AFA4" w14:textId="062D8B98" w:rsidR="00535F72" w:rsidRPr="00535F72" w:rsidRDefault="005028ED" w:rsidP="00535F7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Il</w:t>
      </w:r>
      <w:r w:rsidR="00535F72" w:rsidRPr="00535F72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settore vitivinicolo</w:t>
      </w:r>
      <w:r w:rsidR="00535F72" w:rsidRPr="00535F72">
        <w:rPr>
          <w:rFonts w:ascii="Segoe UI" w:hAnsi="Segoe UI" w:cs="Segoe UI"/>
          <w:sz w:val="20"/>
          <w:szCs w:val="20"/>
        </w:rPr>
        <w:t xml:space="preserve"> in Alto Adige vanta una tradizione di lunga data ed è caratterizzata da standard produttivi elevati. Tuttavia, gli effetti del cambiamento climatico e l’evoluzione delle abitudini di consumo pongono </w:t>
      </w:r>
      <w:r>
        <w:rPr>
          <w:rFonts w:ascii="Segoe UI" w:hAnsi="Segoe UI" w:cs="Segoe UI"/>
          <w:sz w:val="20"/>
          <w:szCs w:val="20"/>
        </w:rPr>
        <w:t xml:space="preserve">le aziende produttrici </w:t>
      </w:r>
      <w:r w:rsidR="00535F72" w:rsidRPr="00535F72">
        <w:rPr>
          <w:rFonts w:ascii="Segoe UI" w:hAnsi="Segoe UI" w:cs="Segoe UI"/>
          <w:sz w:val="20"/>
          <w:szCs w:val="20"/>
        </w:rPr>
        <w:t xml:space="preserve">di fronte a nuove e complesse sfide. Proprio in questo contesto, giovedì 19 marzo 2026 si è svolta presso il Centro di Sperimentazione Laimburg la </w:t>
      </w:r>
      <w:r>
        <w:rPr>
          <w:rFonts w:ascii="Segoe UI" w:hAnsi="Segoe UI" w:cs="Segoe UI"/>
          <w:sz w:val="20"/>
          <w:szCs w:val="20"/>
        </w:rPr>
        <w:t xml:space="preserve">tradizionale </w:t>
      </w:r>
      <w:r w:rsidR="00535F72" w:rsidRPr="00535F72">
        <w:rPr>
          <w:rFonts w:ascii="Segoe UI" w:hAnsi="Segoe UI" w:cs="Segoe UI"/>
          <w:sz w:val="20"/>
          <w:szCs w:val="20"/>
        </w:rPr>
        <w:t xml:space="preserve">Giornata del vino e della vite. </w:t>
      </w:r>
      <w:r>
        <w:rPr>
          <w:rFonts w:ascii="Segoe UI" w:hAnsi="Segoe UI" w:cs="Segoe UI"/>
          <w:sz w:val="20"/>
          <w:szCs w:val="20"/>
        </w:rPr>
        <w:t>Ricercatrici e ricercatori</w:t>
      </w:r>
      <w:r w:rsidR="00535F72" w:rsidRPr="00535F72">
        <w:rPr>
          <w:rFonts w:ascii="Segoe UI" w:hAnsi="Segoe UI" w:cs="Segoe UI"/>
          <w:sz w:val="20"/>
          <w:szCs w:val="20"/>
        </w:rPr>
        <w:t xml:space="preserve"> hanno presentato </w:t>
      </w:r>
      <w:r>
        <w:rPr>
          <w:rFonts w:ascii="Segoe UI" w:hAnsi="Segoe UI" w:cs="Segoe UI"/>
          <w:sz w:val="20"/>
          <w:szCs w:val="20"/>
        </w:rPr>
        <w:t>i più recenti risultati della</w:t>
      </w:r>
      <w:r w:rsidR="00535F72" w:rsidRPr="00535F72">
        <w:rPr>
          <w:rFonts w:ascii="Segoe UI" w:hAnsi="Segoe UI" w:cs="Segoe UI"/>
          <w:sz w:val="20"/>
          <w:szCs w:val="20"/>
        </w:rPr>
        <w:t xml:space="preserve"> ricerca</w:t>
      </w:r>
      <w:r>
        <w:rPr>
          <w:rFonts w:ascii="Segoe UI" w:hAnsi="Segoe UI" w:cs="Segoe UI"/>
          <w:sz w:val="20"/>
          <w:szCs w:val="20"/>
        </w:rPr>
        <w:t>,</w:t>
      </w:r>
      <w:r w:rsidR="00535F72" w:rsidRPr="00535F72">
        <w:rPr>
          <w:rFonts w:ascii="Segoe UI" w:hAnsi="Segoe UI" w:cs="Segoe UI"/>
          <w:sz w:val="20"/>
          <w:szCs w:val="20"/>
        </w:rPr>
        <w:t xml:space="preserve"> </w:t>
      </w:r>
      <w:r w:rsidRPr="005028ED">
        <w:rPr>
          <w:rFonts w:ascii="Segoe UI" w:hAnsi="Segoe UI" w:cs="Segoe UI"/>
          <w:sz w:val="20"/>
          <w:szCs w:val="20"/>
        </w:rPr>
        <w:t xml:space="preserve">affrontando temi che vanno dalle nuove tecniche di produzione del vino </w:t>
      </w:r>
      <w:r>
        <w:rPr>
          <w:rFonts w:ascii="Segoe UI" w:hAnsi="Segoe UI" w:cs="Segoe UI"/>
          <w:sz w:val="20"/>
          <w:szCs w:val="20"/>
        </w:rPr>
        <w:t xml:space="preserve">senza </w:t>
      </w:r>
      <w:r w:rsidR="007D3E71">
        <w:rPr>
          <w:rFonts w:ascii="Segoe UI" w:hAnsi="Segoe UI" w:cs="Segoe UI"/>
          <w:sz w:val="20"/>
          <w:szCs w:val="20"/>
        </w:rPr>
        <w:t>o a basso contenuti di alcol</w:t>
      </w:r>
      <w:r>
        <w:rPr>
          <w:rFonts w:ascii="Segoe UI" w:hAnsi="Segoe UI" w:cs="Segoe UI"/>
          <w:sz w:val="20"/>
          <w:szCs w:val="20"/>
        </w:rPr>
        <w:t>,</w:t>
      </w:r>
      <w:r w:rsidRPr="005028ED">
        <w:rPr>
          <w:rFonts w:ascii="Segoe UI" w:hAnsi="Segoe UI" w:cs="Segoe UI"/>
          <w:sz w:val="20"/>
          <w:szCs w:val="20"/>
        </w:rPr>
        <w:t xml:space="preserve"> alla gestione del vigneto, dalla protezione delle uve alle pratiche di cantina per garantire qualità e stabilità del prodotto finale.</w:t>
      </w:r>
      <w:r>
        <w:rPr>
          <w:rFonts w:ascii="Segoe UI" w:hAnsi="Segoe UI" w:cs="Segoe UI"/>
          <w:sz w:val="20"/>
          <w:szCs w:val="20"/>
        </w:rPr>
        <w:t xml:space="preserve"> </w:t>
      </w:r>
      <w:r w:rsidR="00535F72" w:rsidRPr="00535F72">
        <w:rPr>
          <w:rFonts w:ascii="Segoe UI" w:hAnsi="Segoe UI" w:cs="Segoe UI"/>
          <w:sz w:val="20"/>
          <w:szCs w:val="20"/>
        </w:rPr>
        <w:t xml:space="preserve">L’evento si è concluso con una degustazione di vini sperimentali, tra cui vini </w:t>
      </w:r>
      <w:proofErr w:type="spellStart"/>
      <w:r w:rsidR="00535F72" w:rsidRPr="00535F72">
        <w:rPr>
          <w:rFonts w:ascii="Segoe UI" w:hAnsi="Segoe UI" w:cs="Segoe UI"/>
          <w:sz w:val="20"/>
          <w:szCs w:val="20"/>
        </w:rPr>
        <w:t>dealcolati</w:t>
      </w:r>
      <w:proofErr w:type="spellEnd"/>
      <w:r w:rsidR="00535F72" w:rsidRPr="00535F72">
        <w:rPr>
          <w:rFonts w:ascii="Segoe UI" w:hAnsi="Segoe UI" w:cs="Segoe UI"/>
          <w:sz w:val="20"/>
          <w:szCs w:val="20"/>
        </w:rPr>
        <w:t xml:space="preserve"> e Pinot nero provenienti da vigneti coltivati con differenti sistemi di allevamento</w:t>
      </w:r>
      <w:r>
        <w:rPr>
          <w:rFonts w:ascii="Segoe UI" w:hAnsi="Segoe UI" w:cs="Segoe UI"/>
          <w:sz w:val="20"/>
          <w:szCs w:val="20"/>
        </w:rPr>
        <w:t>.</w:t>
      </w:r>
    </w:p>
    <w:p w14:paraId="2E95B5BB" w14:textId="39E13308" w:rsidR="00BE5F12" w:rsidRDefault="005028ED" w:rsidP="00535F7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“</w:t>
      </w:r>
      <w:r w:rsidRPr="005028ED">
        <w:rPr>
          <w:rFonts w:ascii="Segoe UI" w:hAnsi="Segoe UI" w:cs="Segoe UI"/>
          <w:sz w:val="20"/>
          <w:szCs w:val="20"/>
        </w:rPr>
        <w:t>Il nostro obiettivo è sviluppare soluzioni concrete per rispondere alle sfide della vitivinicoltura in Alto Adige, con un’attenzione costante alla qualità del vino locale. La Giornata del vino e della vite rappresenta un momento di grande valore, perché consente un dialogo diretto tra ricerca e pratica e un confronto con chi opera ogni giorno in vigneto e in cantina</w:t>
      </w:r>
      <w:r w:rsidR="003B7052">
        <w:rPr>
          <w:rFonts w:ascii="Segoe UI" w:hAnsi="Segoe UI" w:cs="Segoe UI"/>
          <w:sz w:val="20"/>
          <w:szCs w:val="20"/>
        </w:rPr>
        <w:t>”,</w:t>
      </w:r>
      <w:r w:rsidRPr="005028ED">
        <w:rPr>
          <w:rFonts w:ascii="Segoe UI" w:hAnsi="Segoe UI" w:cs="Segoe UI"/>
          <w:sz w:val="20"/>
          <w:szCs w:val="20"/>
        </w:rPr>
        <w:t xml:space="preserve"> ha sottolineato il direttore del Centro di Sperimentazione Laimburg, Michael Oberhuber</w:t>
      </w:r>
      <w:r>
        <w:rPr>
          <w:rFonts w:ascii="Segoe UI" w:hAnsi="Segoe UI" w:cs="Segoe UI"/>
          <w:sz w:val="20"/>
          <w:szCs w:val="20"/>
        </w:rPr>
        <w:t>.</w:t>
      </w:r>
    </w:p>
    <w:p w14:paraId="2F75BFFF" w14:textId="77777777" w:rsidR="005028ED" w:rsidRDefault="005028ED" w:rsidP="00535F7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48B152D" w14:textId="439D9687" w:rsidR="00BE5F12" w:rsidRPr="00BE5F12" w:rsidRDefault="00BE5F12" w:rsidP="00BE5F12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BE5F12">
        <w:rPr>
          <w:rFonts w:ascii="Segoe UI" w:hAnsi="Segoe UI" w:cs="Segoe UI"/>
          <w:b/>
          <w:bCs/>
          <w:sz w:val="20"/>
          <w:szCs w:val="20"/>
        </w:rPr>
        <w:t xml:space="preserve">Nuove tendenze di consumo: i vini </w:t>
      </w:r>
      <w:proofErr w:type="spellStart"/>
      <w:r w:rsidRPr="00BE5F12">
        <w:rPr>
          <w:rFonts w:ascii="Segoe UI" w:hAnsi="Segoe UI" w:cs="Segoe UI"/>
          <w:b/>
          <w:bCs/>
          <w:sz w:val="20"/>
          <w:szCs w:val="20"/>
        </w:rPr>
        <w:t>dealcolati</w:t>
      </w:r>
      <w:proofErr w:type="spellEnd"/>
    </w:p>
    <w:p w14:paraId="71A53891" w14:textId="67BEE7E6" w:rsidR="00BE5F12" w:rsidRPr="00BE5F12" w:rsidRDefault="00BE5F1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BE5F12">
        <w:rPr>
          <w:rFonts w:ascii="Segoe UI" w:hAnsi="Segoe UI" w:cs="Segoe UI"/>
          <w:sz w:val="20"/>
          <w:szCs w:val="20"/>
        </w:rPr>
        <w:t xml:space="preserve">L’evoluzione dei gusti e delle abitudini di consumo, insieme alle strategie dell’Organizzazione mondiale della sanità (OMS) volte a ridurre il consumo di alcol, stanno portando sempre più al centro dell’attenzione i vini </w:t>
      </w:r>
      <w:r w:rsidR="007D3E71">
        <w:rPr>
          <w:rFonts w:ascii="Segoe UI" w:hAnsi="Segoe UI" w:cs="Segoe UI"/>
          <w:sz w:val="20"/>
          <w:szCs w:val="20"/>
        </w:rPr>
        <w:t>“</w:t>
      </w:r>
      <w:proofErr w:type="spellStart"/>
      <w:r w:rsidRPr="00BE5F12">
        <w:rPr>
          <w:rFonts w:ascii="Segoe UI" w:hAnsi="Segoe UI" w:cs="Segoe UI"/>
          <w:sz w:val="20"/>
          <w:szCs w:val="20"/>
        </w:rPr>
        <w:t>NoLo</w:t>
      </w:r>
      <w:proofErr w:type="spellEnd"/>
      <w:r w:rsidR="007D3E71">
        <w:rPr>
          <w:rFonts w:ascii="Segoe UI" w:hAnsi="Segoe UI" w:cs="Segoe UI"/>
          <w:sz w:val="20"/>
          <w:szCs w:val="20"/>
        </w:rPr>
        <w:t>”</w:t>
      </w:r>
      <w:r w:rsidRPr="00BE5F12">
        <w:rPr>
          <w:rFonts w:ascii="Segoe UI" w:hAnsi="Segoe UI" w:cs="Segoe UI"/>
          <w:sz w:val="20"/>
          <w:szCs w:val="20"/>
        </w:rPr>
        <w:t xml:space="preserve">, ovvero vini senza alcol (“No”) o a basso contenuto alcolico (“Low”). Lorenzo Italiano dell’Università di Scienze Applicate di </w:t>
      </w:r>
      <w:proofErr w:type="spellStart"/>
      <w:r w:rsidRPr="00BE5F12">
        <w:rPr>
          <w:rFonts w:ascii="Segoe UI" w:hAnsi="Segoe UI" w:cs="Segoe UI"/>
          <w:sz w:val="20"/>
          <w:szCs w:val="20"/>
        </w:rPr>
        <w:t>Geisenheim</w:t>
      </w:r>
      <w:proofErr w:type="spellEnd"/>
      <w:r w:rsidRPr="00BE5F12">
        <w:rPr>
          <w:rFonts w:ascii="Segoe UI" w:hAnsi="Segoe UI" w:cs="Segoe UI"/>
          <w:sz w:val="20"/>
          <w:szCs w:val="20"/>
        </w:rPr>
        <w:t xml:space="preserve"> ha illustrato i principali processi di produzione, il quadro normativo di riferimento e l’andamento del mercato.</w:t>
      </w:r>
      <w:r w:rsidR="00EC3F42">
        <w:rPr>
          <w:rFonts w:ascii="Segoe UI" w:hAnsi="Segoe UI" w:cs="Segoe UI"/>
          <w:sz w:val="20"/>
          <w:szCs w:val="20"/>
        </w:rPr>
        <w:t xml:space="preserve"> </w:t>
      </w:r>
      <w:r w:rsidRPr="00BE5F12">
        <w:rPr>
          <w:rFonts w:ascii="Segoe UI" w:hAnsi="Segoe UI" w:cs="Segoe UI"/>
          <w:sz w:val="20"/>
          <w:szCs w:val="20"/>
        </w:rPr>
        <w:t xml:space="preserve">Attualmente, la domanda maggiore proviene da Germania, Spagna e Francia, mentre in Italia i vini </w:t>
      </w:r>
      <w:r w:rsidR="007D3E71">
        <w:rPr>
          <w:rFonts w:ascii="Segoe UI" w:hAnsi="Segoe UI" w:cs="Segoe UI"/>
          <w:sz w:val="20"/>
          <w:szCs w:val="20"/>
        </w:rPr>
        <w:t>“</w:t>
      </w:r>
      <w:proofErr w:type="spellStart"/>
      <w:r w:rsidRPr="00BE5F12">
        <w:rPr>
          <w:rFonts w:ascii="Segoe UI" w:hAnsi="Segoe UI" w:cs="Segoe UI"/>
          <w:sz w:val="20"/>
          <w:szCs w:val="20"/>
        </w:rPr>
        <w:t>NoLo</w:t>
      </w:r>
      <w:proofErr w:type="spellEnd"/>
      <w:r w:rsidR="007D3E71">
        <w:rPr>
          <w:rFonts w:ascii="Segoe UI" w:hAnsi="Segoe UI" w:cs="Segoe UI"/>
          <w:sz w:val="20"/>
          <w:szCs w:val="20"/>
        </w:rPr>
        <w:t>”</w:t>
      </w:r>
      <w:r w:rsidRPr="00BE5F12">
        <w:rPr>
          <w:rFonts w:ascii="Segoe UI" w:hAnsi="Segoe UI" w:cs="Segoe UI"/>
          <w:sz w:val="20"/>
          <w:szCs w:val="20"/>
        </w:rPr>
        <w:t xml:space="preserve"> rappresentano appena lo 0,1% dell’intero </w:t>
      </w:r>
      <w:r w:rsidR="007D3E71">
        <w:rPr>
          <w:rFonts w:ascii="Segoe UI" w:hAnsi="Segoe UI" w:cs="Segoe UI"/>
          <w:sz w:val="20"/>
          <w:szCs w:val="20"/>
        </w:rPr>
        <w:t>comparto</w:t>
      </w:r>
      <w:r w:rsidRPr="00BE5F12">
        <w:rPr>
          <w:rFonts w:ascii="Segoe UI" w:hAnsi="Segoe UI" w:cs="Segoe UI"/>
          <w:sz w:val="20"/>
          <w:szCs w:val="20"/>
        </w:rPr>
        <w:t xml:space="preserve"> vitivinicolo. Nonostante ciò, le previsioni indicano una forte crescita: entro il 2033 il valore del </w:t>
      </w:r>
      <w:r w:rsidRPr="00BE5F12">
        <w:rPr>
          <w:rFonts w:ascii="Segoe UI" w:hAnsi="Segoe UI" w:cs="Segoe UI"/>
          <w:sz w:val="20"/>
          <w:szCs w:val="20"/>
        </w:rPr>
        <w:lastRenderedPageBreak/>
        <w:t>mercato dovrebbe raggiungere circa 15 milioni di dollari, con un tasso medio di crescita annuo intorno al 47%.</w:t>
      </w:r>
    </w:p>
    <w:p w14:paraId="6A781101" w14:textId="66FDE405" w:rsidR="00BE5F12" w:rsidRPr="00BE5F12" w:rsidRDefault="007D3E71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Nel</w:t>
      </w:r>
      <w:r w:rsidR="00BE5F12" w:rsidRPr="00BE5F12">
        <w:rPr>
          <w:rFonts w:ascii="Segoe UI" w:hAnsi="Segoe UI" w:cs="Segoe UI"/>
          <w:sz w:val="20"/>
          <w:szCs w:val="20"/>
        </w:rPr>
        <w:t xml:space="preserve">la produzione dei vini </w:t>
      </w:r>
      <w:r>
        <w:rPr>
          <w:rFonts w:ascii="Segoe UI" w:hAnsi="Segoe UI" w:cs="Segoe UI"/>
          <w:sz w:val="20"/>
          <w:szCs w:val="20"/>
        </w:rPr>
        <w:t>“</w:t>
      </w:r>
      <w:proofErr w:type="spellStart"/>
      <w:r w:rsidR="00BE5F12" w:rsidRPr="00BE5F12">
        <w:rPr>
          <w:rFonts w:ascii="Segoe UI" w:hAnsi="Segoe UI" w:cs="Segoe UI"/>
          <w:sz w:val="20"/>
          <w:szCs w:val="20"/>
        </w:rPr>
        <w:t>NoLo</w:t>
      </w:r>
      <w:proofErr w:type="spellEnd"/>
      <w:r>
        <w:rPr>
          <w:rFonts w:ascii="Segoe UI" w:hAnsi="Segoe UI" w:cs="Segoe UI"/>
          <w:sz w:val="20"/>
          <w:szCs w:val="20"/>
        </w:rPr>
        <w:t>”</w:t>
      </w:r>
      <w:r w:rsidR="00BE5F12" w:rsidRPr="00BE5F12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possono essere impiegate</w:t>
      </w:r>
      <w:r w:rsidR="00BE5F12" w:rsidRPr="00BE5F12">
        <w:rPr>
          <w:rFonts w:ascii="Segoe UI" w:hAnsi="Segoe UI" w:cs="Segoe UI"/>
          <w:sz w:val="20"/>
          <w:szCs w:val="20"/>
        </w:rPr>
        <w:t xml:space="preserve"> diverse tecnologie. I processi a membrana, come l’osmosi inversa, i sistemi </w:t>
      </w:r>
      <w:r w:rsidR="00A6630F">
        <w:rPr>
          <w:rFonts w:ascii="Segoe UI" w:hAnsi="Segoe UI" w:cs="Segoe UI"/>
          <w:sz w:val="20"/>
          <w:szCs w:val="20"/>
        </w:rPr>
        <w:t>a contattore</w:t>
      </w:r>
      <w:r w:rsidR="00BE5F12" w:rsidRPr="00BE5F12">
        <w:rPr>
          <w:rFonts w:ascii="Segoe UI" w:hAnsi="Segoe UI" w:cs="Segoe UI"/>
          <w:sz w:val="20"/>
          <w:szCs w:val="20"/>
        </w:rPr>
        <w:t xml:space="preserve"> e la nanofiltrazione, sono particolarmente adatti </w:t>
      </w:r>
      <w:r w:rsidR="00EC3F42">
        <w:rPr>
          <w:rFonts w:ascii="Segoe UI" w:hAnsi="Segoe UI" w:cs="Segoe UI"/>
          <w:sz w:val="20"/>
          <w:szCs w:val="20"/>
        </w:rPr>
        <w:t xml:space="preserve">per ridurre parzialmente il </w:t>
      </w:r>
      <w:r w:rsidR="00BE5F12" w:rsidRPr="00BE5F12">
        <w:rPr>
          <w:rFonts w:ascii="Segoe UI" w:hAnsi="Segoe UI" w:cs="Segoe UI"/>
          <w:sz w:val="20"/>
          <w:szCs w:val="20"/>
        </w:rPr>
        <w:t>contenuto alcolico, tra l’1 e il 6% in volume, risultando interessanti soprattutto per le cantine di dimensioni medio‑piccole. I processi distillativi</w:t>
      </w:r>
      <w:r w:rsidR="00EC3F42">
        <w:rPr>
          <w:rFonts w:ascii="Segoe UI" w:hAnsi="Segoe UI" w:cs="Segoe UI"/>
          <w:sz w:val="20"/>
          <w:szCs w:val="20"/>
        </w:rPr>
        <w:t>, invece,</w:t>
      </w:r>
      <w:r w:rsidR="00BE5F12" w:rsidRPr="00BE5F12">
        <w:rPr>
          <w:rFonts w:ascii="Segoe UI" w:hAnsi="Segoe UI" w:cs="Segoe UI"/>
          <w:sz w:val="20"/>
          <w:szCs w:val="20"/>
        </w:rPr>
        <w:t xml:space="preserve"> consentono di ottenere vini con un tenore alcolico inferiore allo 0,5% in volume, ma richiedono impianti tecnologicamente complessi e sono quindi più indicati per produzioni su larga scala.</w:t>
      </w:r>
    </w:p>
    <w:p w14:paraId="4A0FE502" w14:textId="4748536B" w:rsidR="00BE5F12" w:rsidRDefault="00BE5F1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BE5F12">
        <w:rPr>
          <w:rFonts w:ascii="Segoe UI" w:hAnsi="Segoe UI" w:cs="Segoe UI"/>
          <w:sz w:val="20"/>
          <w:szCs w:val="20"/>
        </w:rPr>
        <w:t xml:space="preserve">Restano centrali alcune sfide, in particolare </w:t>
      </w:r>
      <w:r w:rsidR="007D3E71">
        <w:rPr>
          <w:rFonts w:ascii="Segoe UI" w:hAnsi="Segoe UI" w:cs="Segoe UI"/>
          <w:sz w:val="20"/>
          <w:szCs w:val="20"/>
        </w:rPr>
        <w:t>le modifiche del profilo</w:t>
      </w:r>
      <w:r w:rsidRPr="00BE5F12">
        <w:rPr>
          <w:rFonts w:ascii="Segoe UI" w:hAnsi="Segoe UI" w:cs="Segoe UI"/>
          <w:sz w:val="20"/>
          <w:szCs w:val="20"/>
        </w:rPr>
        <w:t xml:space="preserve"> aromati</w:t>
      </w:r>
      <w:r w:rsidR="007D3E71">
        <w:rPr>
          <w:rFonts w:ascii="Segoe UI" w:hAnsi="Segoe UI" w:cs="Segoe UI"/>
          <w:sz w:val="20"/>
          <w:szCs w:val="20"/>
        </w:rPr>
        <w:t xml:space="preserve">co, </w:t>
      </w:r>
      <w:r w:rsidRPr="00BE5F12">
        <w:rPr>
          <w:rFonts w:ascii="Segoe UI" w:hAnsi="Segoe UI" w:cs="Segoe UI"/>
          <w:sz w:val="20"/>
          <w:szCs w:val="20"/>
        </w:rPr>
        <w:t xml:space="preserve">che possono verificarsi durante la </w:t>
      </w:r>
      <w:proofErr w:type="spellStart"/>
      <w:r w:rsidRPr="00BE5F12">
        <w:rPr>
          <w:rFonts w:ascii="Segoe UI" w:hAnsi="Segoe UI" w:cs="Segoe UI"/>
          <w:sz w:val="20"/>
          <w:szCs w:val="20"/>
        </w:rPr>
        <w:t>dealcolazione</w:t>
      </w:r>
      <w:proofErr w:type="spellEnd"/>
      <w:r w:rsidRPr="00BE5F12">
        <w:rPr>
          <w:rFonts w:ascii="Segoe UI" w:hAnsi="Segoe UI" w:cs="Segoe UI"/>
          <w:sz w:val="20"/>
          <w:szCs w:val="20"/>
        </w:rPr>
        <w:t xml:space="preserve"> del vino. A ciò si aggiungono costi di produzione più elevati, legati all’elevata complessità tecnologica dei processi. </w:t>
      </w:r>
      <w:r w:rsidR="007D3E71" w:rsidRPr="007D3E71">
        <w:rPr>
          <w:rFonts w:ascii="Segoe UI" w:hAnsi="Segoe UI" w:cs="Segoe UI"/>
          <w:sz w:val="20"/>
          <w:szCs w:val="20"/>
        </w:rPr>
        <w:t xml:space="preserve">Allo stesso tempo, si pone la questione </w:t>
      </w:r>
      <w:r w:rsidR="007D3E71">
        <w:rPr>
          <w:rFonts w:ascii="Segoe UI" w:hAnsi="Segoe UI" w:cs="Segoe UI"/>
          <w:sz w:val="20"/>
          <w:szCs w:val="20"/>
        </w:rPr>
        <w:t xml:space="preserve">del riposizionamento </w:t>
      </w:r>
      <w:r w:rsidR="007D3E71" w:rsidRPr="007D3E71">
        <w:rPr>
          <w:rFonts w:ascii="Segoe UI" w:hAnsi="Segoe UI" w:cs="Segoe UI"/>
          <w:sz w:val="20"/>
          <w:szCs w:val="20"/>
        </w:rPr>
        <w:t xml:space="preserve">dell’identità del prodotto, inteso come bevanda di nuova concezione, </w:t>
      </w:r>
      <w:r w:rsidR="007D3E71">
        <w:rPr>
          <w:rFonts w:ascii="Segoe UI" w:hAnsi="Segoe UI" w:cs="Segoe UI"/>
          <w:sz w:val="20"/>
          <w:szCs w:val="20"/>
        </w:rPr>
        <w:t>che deve</w:t>
      </w:r>
      <w:r w:rsidR="007D3E71" w:rsidRPr="007D3E71">
        <w:rPr>
          <w:rFonts w:ascii="Segoe UI" w:hAnsi="Segoe UI" w:cs="Segoe UI"/>
          <w:sz w:val="20"/>
          <w:szCs w:val="20"/>
        </w:rPr>
        <w:t xml:space="preserve"> essere comunicat</w:t>
      </w:r>
      <w:r w:rsidR="007D3E71">
        <w:rPr>
          <w:rFonts w:ascii="Segoe UI" w:hAnsi="Segoe UI" w:cs="Segoe UI"/>
          <w:sz w:val="20"/>
          <w:szCs w:val="20"/>
        </w:rPr>
        <w:t>a</w:t>
      </w:r>
      <w:r w:rsidR="007D3E71" w:rsidRPr="007D3E71">
        <w:rPr>
          <w:rFonts w:ascii="Segoe UI" w:hAnsi="Segoe UI" w:cs="Segoe UI"/>
          <w:sz w:val="20"/>
          <w:szCs w:val="20"/>
        </w:rPr>
        <w:t xml:space="preserve"> in modo distinto e specifico.</w:t>
      </w:r>
    </w:p>
    <w:p w14:paraId="061F3AEC" w14:textId="77777777" w:rsidR="007D3E71" w:rsidRPr="00BE5F12" w:rsidRDefault="007D3E71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D1C05D0" w14:textId="33B5F2D1" w:rsidR="00791C72" w:rsidRDefault="00791C72" w:rsidP="00BE5F12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791C72">
        <w:rPr>
          <w:rFonts w:ascii="Segoe UI" w:hAnsi="Segoe UI" w:cs="Segoe UI"/>
          <w:b/>
          <w:bCs/>
          <w:sz w:val="20"/>
          <w:szCs w:val="20"/>
        </w:rPr>
        <w:t>Vendemmi</w:t>
      </w:r>
      <w:r>
        <w:rPr>
          <w:rFonts w:ascii="Segoe UI" w:hAnsi="Segoe UI" w:cs="Segoe UI"/>
          <w:b/>
          <w:bCs/>
          <w:sz w:val="20"/>
          <w:szCs w:val="20"/>
        </w:rPr>
        <w:t>e più</w:t>
      </w:r>
      <w:r w:rsidRPr="00791C72">
        <w:rPr>
          <w:rFonts w:ascii="Segoe UI" w:hAnsi="Segoe UI" w:cs="Segoe UI"/>
          <w:b/>
          <w:bCs/>
          <w:sz w:val="20"/>
          <w:szCs w:val="20"/>
        </w:rPr>
        <w:t xml:space="preserve"> cald</w:t>
      </w:r>
      <w:r>
        <w:rPr>
          <w:rFonts w:ascii="Segoe UI" w:hAnsi="Segoe UI" w:cs="Segoe UI"/>
          <w:b/>
          <w:bCs/>
          <w:sz w:val="20"/>
          <w:szCs w:val="20"/>
        </w:rPr>
        <w:t>e</w:t>
      </w:r>
      <w:r w:rsidRPr="00791C72">
        <w:rPr>
          <w:rFonts w:ascii="Segoe UI" w:hAnsi="Segoe UI" w:cs="Segoe UI"/>
          <w:b/>
          <w:bCs/>
          <w:sz w:val="20"/>
          <w:szCs w:val="20"/>
        </w:rPr>
        <w:t xml:space="preserve">: quando il raffreddamento delle uve aiuta a preservarne la qualità </w:t>
      </w:r>
    </w:p>
    <w:p w14:paraId="2177D792" w14:textId="7CFC2445" w:rsidR="00BE5F12" w:rsidRPr="00BE5F12" w:rsidRDefault="003B705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“</w:t>
      </w:r>
      <w:r w:rsidR="00BE5F12" w:rsidRPr="00BE5F12">
        <w:rPr>
          <w:rFonts w:ascii="Segoe UI" w:hAnsi="Segoe UI" w:cs="Segoe UI"/>
          <w:sz w:val="20"/>
          <w:szCs w:val="20"/>
        </w:rPr>
        <w:t xml:space="preserve">Durante la vendemmia, nelle cantine si verificano regolarmente picchi di lavoro, soprattutto prima o dopo le precipitazioni, quando le uve devono essere lavorate rapidamente. Per evitare uno stoccaggio temporaneo a temperature elevate, molte cantine prolungano spesso le attività fino a tarda notte. Il cambiamento climatico aggrava ulteriormente questa situazione, poiché </w:t>
      </w:r>
      <w:r>
        <w:rPr>
          <w:rFonts w:ascii="Segoe UI" w:hAnsi="Segoe UI" w:cs="Segoe UI"/>
          <w:sz w:val="20"/>
          <w:szCs w:val="20"/>
        </w:rPr>
        <w:t xml:space="preserve">nel periodo di </w:t>
      </w:r>
      <w:r w:rsidR="00BE5F12" w:rsidRPr="00BE5F12">
        <w:rPr>
          <w:rFonts w:ascii="Segoe UI" w:hAnsi="Segoe UI" w:cs="Segoe UI"/>
          <w:sz w:val="20"/>
          <w:szCs w:val="20"/>
        </w:rPr>
        <w:t xml:space="preserve">raccolta </w:t>
      </w:r>
      <w:r>
        <w:rPr>
          <w:rFonts w:ascii="Segoe UI" w:hAnsi="Segoe UI" w:cs="Segoe UI"/>
          <w:sz w:val="20"/>
          <w:szCs w:val="20"/>
        </w:rPr>
        <w:t>il clima primane ancora molto caldo</w:t>
      </w:r>
      <w:r w:rsidR="00BE5F12" w:rsidRPr="00BE5F12">
        <w:rPr>
          <w:rFonts w:ascii="Segoe UI" w:hAnsi="Segoe UI" w:cs="Segoe UI"/>
          <w:sz w:val="20"/>
          <w:szCs w:val="20"/>
        </w:rPr>
        <w:t>. Allo stesso tempo, diverse fasi della vinificazione</w:t>
      </w:r>
      <w:r>
        <w:rPr>
          <w:rFonts w:ascii="Segoe UI" w:hAnsi="Segoe UI" w:cs="Segoe UI"/>
          <w:sz w:val="20"/>
          <w:szCs w:val="20"/>
        </w:rPr>
        <w:t xml:space="preserve"> </w:t>
      </w:r>
      <w:r w:rsidR="00BE5F12" w:rsidRPr="00BE5F12">
        <w:rPr>
          <w:rFonts w:ascii="Segoe UI" w:hAnsi="Segoe UI" w:cs="Segoe UI"/>
          <w:sz w:val="20"/>
          <w:szCs w:val="20"/>
        </w:rPr>
        <w:t>richiedono temperatur</w:t>
      </w:r>
      <w:r w:rsidR="00EC3F42">
        <w:rPr>
          <w:rFonts w:ascii="Segoe UI" w:hAnsi="Segoe UI" w:cs="Segoe UI"/>
          <w:sz w:val="20"/>
          <w:szCs w:val="20"/>
        </w:rPr>
        <w:t>e</w:t>
      </w:r>
      <w:r>
        <w:rPr>
          <w:rFonts w:ascii="Segoe UI" w:hAnsi="Segoe UI" w:cs="Segoe UI"/>
          <w:sz w:val="20"/>
          <w:szCs w:val="20"/>
        </w:rPr>
        <w:t xml:space="preserve"> basse”,</w:t>
      </w:r>
      <w:r w:rsidR="00BE5F12" w:rsidRPr="00BE5F12">
        <w:rPr>
          <w:rFonts w:ascii="Segoe UI" w:hAnsi="Segoe UI" w:cs="Segoe UI"/>
          <w:sz w:val="20"/>
          <w:szCs w:val="20"/>
        </w:rPr>
        <w:t xml:space="preserve"> spiega Ulrich Pedri, responsabile del settore Enologia del Centro di Sperimentazione Laimburg.</w:t>
      </w:r>
    </w:p>
    <w:p w14:paraId="0D95D163" w14:textId="6B23210A" w:rsidR="00BE5F12" w:rsidRPr="00BE5F12" w:rsidRDefault="00BE5F1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BE5F12">
        <w:rPr>
          <w:rFonts w:ascii="Segoe UI" w:hAnsi="Segoe UI" w:cs="Segoe UI"/>
          <w:sz w:val="20"/>
          <w:szCs w:val="20"/>
        </w:rPr>
        <w:t xml:space="preserve">In questo contesto si pone la domanda se un raffreddamento mirato delle uve prima della lavorazione possa risultare vantaggioso. Negli anni 2022 e 2023, </w:t>
      </w:r>
      <w:proofErr w:type="gramStart"/>
      <w:r w:rsidR="003B7052">
        <w:rPr>
          <w:rFonts w:ascii="Segoe UI" w:hAnsi="Segoe UI" w:cs="Segoe UI"/>
          <w:sz w:val="20"/>
          <w:szCs w:val="20"/>
        </w:rPr>
        <w:t>un team</w:t>
      </w:r>
      <w:proofErr w:type="gramEnd"/>
      <w:r w:rsidR="003B7052">
        <w:rPr>
          <w:rFonts w:ascii="Segoe UI" w:hAnsi="Segoe UI" w:cs="Segoe UI"/>
          <w:sz w:val="20"/>
          <w:szCs w:val="20"/>
        </w:rPr>
        <w:t xml:space="preserve"> di ricerca del Centro Laimburg ha sottoposto </w:t>
      </w:r>
      <w:r w:rsidRPr="00BE5F12">
        <w:rPr>
          <w:rFonts w:ascii="Segoe UI" w:hAnsi="Segoe UI" w:cs="Segoe UI"/>
          <w:sz w:val="20"/>
          <w:szCs w:val="20"/>
        </w:rPr>
        <w:t xml:space="preserve">uve di Sauvignon a diverse condizioni di temperatura durante lo stoccaggio. I risultati sono chiari: non sono emerse differenze sensoriali significative tra una lavorazione immediata e una conservazione delle uve a 8 °C. Anche dal punto di vista microbiologico e chimico, il raffreddamento a 8 °C per un periodo di </w:t>
      </w:r>
      <w:r w:rsidR="00065403">
        <w:rPr>
          <w:rFonts w:ascii="Segoe UI" w:hAnsi="Segoe UI" w:cs="Segoe UI"/>
          <w:sz w:val="20"/>
          <w:szCs w:val="20"/>
        </w:rPr>
        <w:t>48</w:t>
      </w:r>
      <w:r w:rsidRPr="00BE5F12">
        <w:rPr>
          <w:rFonts w:ascii="Segoe UI" w:hAnsi="Segoe UI" w:cs="Segoe UI"/>
          <w:sz w:val="20"/>
          <w:szCs w:val="20"/>
        </w:rPr>
        <w:t xml:space="preserve"> ore non ha mostrato effetti negativi. </w:t>
      </w:r>
      <w:r w:rsidR="003B7052" w:rsidRPr="003B7052">
        <w:rPr>
          <w:rFonts w:ascii="Segoe UI" w:hAnsi="Segoe UI" w:cs="Segoe UI"/>
          <w:sz w:val="20"/>
          <w:szCs w:val="20"/>
        </w:rPr>
        <w:t>Critiche risultano invece temperature di stoccaggio di 20 °C o superiori, in grado di compromettere in modo significativo la qualità microbiologica, chimica e sensoriale delle uve.</w:t>
      </w:r>
    </w:p>
    <w:p w14:paraId="478E722B" w14:textId="77777777" w:rsidR="00BE5F12" w:rsidRPr="00BE5F12" w:rsidRDefault="00BE5F1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EBEC618" w14:textId="0F75155B" w:rsidR="00BE5F12" w:rsidRPr="00BE5F12" w:rsidRDefault="00BE5F12" w:rsidP="00BE5F12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BE5F12">
        <w:rPr>
          <w:rFonts w:ascii="Segoe UI" w:hAnsi="Segoe UI" w:cs="Segoe UI"/>
          <w:b/>
          <w:bCs/>
          <w:sz w:val="20"/>
          <w:szCs w:val="20"/>
        </w:rPr>
        <w:t xml:space="preserve">Lotta alla </w:t>
      </w:r>
      <w:r w:rsidR="003B7052">
        <w:rPr>
          <w:rFonts w:ascii="Segoe UI" w:hAnsi="Segoe UI" w:cs="Segoe UI"/>
          <w:b/>
          <w:bCs/>
          <w:sz w:val="20"/>
          <w:szCs w:val="20"/>
        </w:rPr>
        <w:t>botrite</w:t>
      </w:r>
      <w:r w:rsidRPr="00BE5F12">
        <w:rPr>
          <w:rFonts w:ascii="Segoe UI" w:hAnsi="Segoe UI" w:cs="Segoe UI"/>
          <w:b/>
          <w:bCs/>
          <w:sz w:val="20"/>
          <w:szCs w:val="20"/>
        </w:rPr>
        <w:t>: risultati delle prove più recenti</w:t>
      </w:r>
    </w:p>
    <w:p w14:paraId="37C264D4" w14:textId="4D1D4B52" w:rsidR="00BE5F12" w:rsidRPr="00BE5F12" w:rsidRDefault="00BE5F1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3B7052">
        <w:rPr>
          <w:rFonts w:ascii="Segoe UI" w:hAnsi="Segoe UI" w:cs="Segoe UI"/>
          <w:i/>
          <w:iCs/>
          <w:sz w:val="20"/>
          <w:szCs w:val="20"/>
        </w:rPr>
        <w:t>Botrytis</w:t>
      </w:r>
      <w:proofErr w:type="spellEnd"/>
      <w:r w:rsidRPr="003B7052">
        <w:rPr>
          <w:rFonts w:ascii="Segoe UI" w:hAnsi="Segoe UI" w:cs="Segoe UI"/>
          <w:i/>
          <w:iCs/>
          <w:sz w:val="20"/>
          <w:szCs w:val="20"/>
        </w:rPr>
        <w:t xml:space="preserve"> cinerea</w:t>
      </w:r>
      <w:r w:rsidRPr="00BE5F12">
        <w:rPr>
          <w:rFonts w:ascii="Segoe UI" w:hAnsi="Segoe UI" w:cs="Segoe UI"/>
          <w:sz w:val="20"/>
          <w:szCs w:val="20"/>
        </w:rPr>
        <w:t xml:space="preserve"> è un fungo diffuso a livello mondiale che, in condizioni caldo‑umide, può </w:t>
      </w:r>
      <w:r w:rsidR="00791C72">
        <w:rPr>
          <w:rFonts w:ascii="Segoe UI" w:hAnsi="Segoe UI" w:cs="Segoe UI"/>
          <w:sz w:val="20"/>
          <w:szCs w:val="20"/>
        </w:rPr>
        <w:t>danneggiare</w:t>
      </w:r>
      <w:r w:rsidRPr="00BE5F12">
        <w:rPr>
          <w:rFonts w:ascii="Segoe UI" w:hAnsi="Segoe UI" w:cs="Segoe UI"/>
          <w:sz w:val="20"/>
          <w:szCs w:val="20"/>
        </w:rPr>
        <w:t xml:space="preserve"> i grappoli causando ingenti perdite qualitative e produttive. Alla luce dell’aumento degli eventi meteorologici estremi, cresce l’importanza di strategie di difesa efficaci e sostenibili. Presso il Centro di Sperimentazione Laimburg, nel 2025 sono state condotte due prove sperimentali.</w:t>
      </w:r>
    </w:p>
    <w:p w14:paraId="37A2F840" w14:textId="04C711DF" w:rsidR="00BE5F12" w:rsidRDefault="00BE5F12" w:rsidP="00BE5F12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BE5F12">
        <w:rPr>
          <w:rFonts w:ascii="Segoe UI" w:hAnsi="Segoe UI" w:cs="Segoe UI"/>
          <w:sz w:val="20"/>
          <w:szCs w:val="20"/>
        </w:rPr>
        <w:t>Nel</w:t>
      </w:r>
      <w:r w:rsidR="007B193F">
        <w:rPr>
          <w:rFonts w:ascii="Segoe UI" w:hAnsi="Segoe UI" w:cs="Segoe UI"/>
          <w:sz w:val="20"/>
          <w:szCs w:val="20"/>
        </w:rPr>
        <w:t>la</w:t>
      </w:r>
      <w:r w:rsidRPr="00BE5F12">
        <w:rPr>
          <w:rFonts w:ascii="Segoe UI" w:hAnsi="Segoe UI" w:cs="Segoe UI"/>
          <w:sz w:val="20"/>
          <w:szCs w:val="20"/>
        </w:rPr>
        <w:t xml:space="preserve"> prim</w:t>
      </w:r>
      <w:r w:rsidR="007B193F">
        <w:rPr>
          <w:rFonts w:ascii="Segoe UI" w:hAnsi="Segoe UI" w:cs="Segoe UI"/>
          <w:sz w:val="20"/>
          <w:szCs w:val="20"/>
        </w:rPr>
        <w:t>a prova</w:t>
      </w:r>
      <w:r w:rsidRPr="00BE5F12">
        <w:rPr>
          <w:rFonts w:ascii="Segoe UI" w:hAnsi="Segoe UI" w:cs="Segoe UI"/>
          <w:sz w:val="20"/>
          <w:szCs w:val="20"/>
        </w:rPr>
        <w:t>, i ricercatori hanno valutato l’efficacia d</w:t>
      </w:r>
      <w:r w:rsidR="00791C72">
        <w:rPr>
          <w:rFonts w:ascii="Segoe UI" w:hAnsi="Segoe UI" w:cs="Segoe UI"/>
          <w:sz w:val="20"/>
          <w:szCs w:val="20"/>
        </w:rPr>
        <w:t>i tre</w:t>
      </w:r>
      <w:r w:rsidRPr="00BE5F12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BE5F12">
        <w:rPr>
          <w:rFonts w:ascii="Segoe UI" w:hAnsi="Segoe UI" w:cs="Segoe UI"/>
          <w:sz w:val="20"/>
          <w:szCs w:val="20"/>
        </w:rPr>
        <w:t>botriticidi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, </w:t>
      </w:r>
      <w:proofErr w:type="spellStart"/>
      <w:r w:rsidR="00B6424C">
        <w:rPr>
          <w:rFonts w:ascii="Segoe UI" w:hAnsi="Segoe UI" w:cs="Segoe UI"/>
          <w:sz w:val="20"/>
          <w:szCs w:val="20"/>
        </w:rPr>
        <w:t>Teldor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 Plus</w:t>
      </w:r>
      <w:r w:rsidRPr="00BE5F12">
        <w:rPr>
          <w:rFonts w:ascii="Segoe UI" w:hAnsi="Segoe UI" w:cs="Segoe UI"/>
          <w:sz w:val="20"/>
          <w:szCs w:val="20"/>
        </w:rPr>
        <w:t xml:space="preserve">, </w:t>
      </w:r>
      <w:proofErr w:type="spellStart"/>
      <w:r w:rsidR="00B6424C">
        <w:rPr>
          <w:rFonts w:ascii="Segoe UI" w:hAnsi="Segoe UI" w:cs="Segoe UI"/>
          <w:sz w:val="20"/>
          <w:szCs w:val="20"/>
        </w:rPr>
        <w:t>Geoxe</w:t>
      </w:r>
      <w:proofErr w:type="spellEnd"/>
      <w:r w:rsidRPr="00BE5F12">
        <w:rPr>
          <w:rFonts w:ascii="Segoe UI" w:hAnsi="Segoe UI" w:cs="Segoe UI"/>
          <w:sz w:val="20"/>
          <w:szCs w:val="20"/>
        </w:rPr>
        <w:t xml:space="preserve"> e </w:t>
      </w:r>
      <w:proofErr w:type="spellStart"/>
      <w:r w:rsidR="00B6424C">
        <w:rPr>
          <w:rFonts w:ascii="Segoe UI" w:hAnsi="Segoe UI" w:cs="Segoe UI"/>
          <w:sz w:val="20"/>
          <w:szCs w:val="20"/>
        </w:rPr>
        <w:t>Cantus</w:t>
      </w:r>
      <w:proofErr w:type="spellEnd"/>
      <w:r w:rsidRPr="00BE5F12">
        <w:rPr>
          <w:rFonts w:ascii="Segoe UI" w:hAnsi="Segoe UI" w:cs="Segoe UI"/>
          <w:sz w:val="20"/>
          <w:szCs w:val="20"/>
        </w:rPr>
        <w:t>, applicati con due diversi dosaggi e in differenti momenti</w:t>
      </w:r>
      <w:r w:rsidR="00B6424C">
        <w:rPr>
          <w:rFonts w:ascii="Segoe UI" w:hAnsi="Segoe UI" w:cs="Segoe UI"/>
          <w:sz w:val="20"/>
          <w:szCs w:val="20"/>
        </w:rPr>
        <w:t xml:space="preserve"> della stagione</w:t>
      </w:r>
      <w:r w:rsidRPr="00BE5F12">
        <w:rPr>
          <w:rFonts w:ascii="Segoe UI" w:hAnsi="Segoe UI" w:cs="Segoe UI"/>
          <w:sz w:val="20"/>
          <w:szCs w:val="20"/>
        </w:rPr>
        <w:t xml:space="preserve">. Il miglior risultato è stato ottenuto con </w:t>
      </w:r>
      <w:r w:rsidR="00791C72">
        <w:rPr>
          <w:rFonts w:ascii="Segoe UI" w:hAnsi="Segoe UI" w:cs="Segoe UI"/>
          <w:sz w:val="20"/>
          <w:szCs w:val="20"/>
        </w:rPr>
        <w:t xml:space="preserve">il </w:t>
      </w:r>
      <w:proofErr w:type="spellStart"/>
      <w:r w:rsidR="00B6424C">
        <w:rPr>
          <w:rFonts w:ascii="Segoe UI" w:hAnsi="Segoe UI" w:cs="Segoe UI"/>
          <w:sz w:val="20"/>
          <w:szCs w:val="20"/>
        </w:rPr>
        <w:t>Teldor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 Plus</w:t>
      </w:r>
      <w:r w:rsidR="00B6424C" w:rsidRPr="00BE5F12">
        <w:rPr>
          <w:rFonts w:ascii="Segoe UI" w:hAnsi="Segoe UI" w:cs="Segoe UI"/>
          <w:sz w:val="20"/>
          <w:szCs w:val="20"/>
        </w:rPr>
        <w:t xml:space="preserve"> </w:t>
      </w:r>
      <w:r w:rsidRPr="00BE5F12">
        <w:rPr>
          <w:rFonts w:ascii="Segoe UI" w:hAnsi="Segoe UI" w:cs="Segoe UI"/>
          <w:sz w:val="20"/>
          <w:szCs w:val="20"/>
        </w:rPr>
        <w:t>alla dose più elevata di 150 ml/hl all’inizio della maturazione</w:t>
      </w:r>
      <w:r w:rsidR="00B6424C">
        <w:rPr>
          <w:rFonts w:ascii="Segoe UI" w:hAnsi="Segoe UI" w:cs="Segoe UI"/>
          <w:sz w:val="20"/>
          <w:szCs w:val="20"/>
        </w:rPr>
        <w:t xml:space="preserve"> delle uve</w:t>
      </w:r>
      <w:r w:rsidRPr="00BE5F12">
        <w:rPr>
          <w:rFonts w:ascii="Segoe UI" w:hAnsi="Segoe UI" w:cs="Segoe UI"/>
          <w:sz w:val="20"/>
          <w:szCs w:val="20"/>
        </w:rPr>
        <w:t xml:space="preserve">, seguito da </w:t>
      </w:r>
      <w:proofErr w:type="spellStart"/>
      <w:r w:rsidR="00B6424C">
        <w:rPr>
          <w:rFonts w:ascii="Segoe UI" w:hAnsi="Segoe UI" w:cs="Segoe UI"/>
          <w:sz w:val="20"/>
          <w:szCs w:val="20"/>
        </w:rPr>
        <w:t>Geoxe</w:t>
      </w:r>
      <w:proofErr w:type="spellEnd"/>
      <w:r w:rsidR="00B6424C" w:rsidRPr="00BE5F12">
        <w:rPr>
          <w:rFonts w:ascii="Segoe UI" w:hAnsi="Segoe UI" w:cs="Segoe UI"/>
          <w:sz w:val="20"/>
          <w:szCs w:val="20"/>
        </w:rPr>
        <w:t xml:space="preserve"> </w:t>
      </w:r>
      <w:r w:rsidRPr="00BE5F12">
        <w:rPr>
          <w:rFonts w:ascii="Segoe UI" w:hAnsi="Segoe UI" w:cs="Segoe UI"/>
          <w:sz w:val="20"/>
          <w:szCs w:val="20"/>
        </w:rPr>
        <w:t>con 100 g/hl.</w:t>
      </w:r>
    </w:p>
    <w:p w14:paraId="5C73934D" w14:textId="138E13E7" w:rsidR="00D952D5" w:rsidRPr="00D952D5" w:rsidRDefault="007B193F" w:rsidP="00D952D5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Nella seconda prova</w:t>
      </w:r>
      <w:r w:rsidR="00D952D5" w:rsidRPr="00D952D5">
        <w:rPr>
          <w:rFonts w:ascii="Segoe UI" w:hAnsi="Segoe UI" w:cs="Segoe UI"/>
          <w:sz w:val="20"/>
          <w:szCs w:val="20"/>
        </w:rPr>
        <w:t xml:space="preserve">, </w:t>
      </w:r>
      <w:r w:rsidR="00D952D5">
        <w:rPr>
          <w:rFonts w:ascii="Segoe UI" w:hAnsi="Segoe UI" w:cs="Segoe UI"/>
          <w:sz w:val="20"/>
          <w:szCs w:val="20"/>
        </w:rPr>
        <w:t xml:space="preserve">si è voluto valutare </w:t>
      </w:r>
      <w:r>
        <w:rPr>
          <w:rFonts w:ascii="Segoe UI" w:hAnsi="Segoe UI" w:cs="Segoe UI"/>
          <w:sz w:val="20"/>
          <w:szCs w:val="20"/>
        </w:rPr>
        <w:t xml:space="preserve">l’aumento di </w:t>
      </w:r>
      <w:r w:rsidR="00D952D5">
        <w:rPr>
          <w:rFonts w:ascii="Segoe UI" w:hAnsi="Segoe UI" w:cs="Segoe UI"/>
          <w:sz w:val="20"/>
          <w:szCs w:val="20"/>
        </w:rPr>
        <w:t>efficacia</w:t>
      </w:r>
      <w:r>
        <w:rPr>
          <w:rFonts w:ascii="Segoe UI" w:hAnsi="Segoe UI" w:cs="Segoe UI"/>
          <w:sz w:val="20"/>
          <w:szCs w:val="20"/>
        </w:rPr>
        <w:t>,</w:t>
      </w:r>
      <w:r w:rsidR="00D952D5">
        <w:rPr>
          <w:rFonts w:ascii="Segoe UI" w:hAnsi="Segoe UI" w:cs="Segoe UI"/>
          <w:sz w:val="20"/>
          <w:szCs w:val="20"/>
        </w:rPr>
        <w:t xml:space="preserve"> </w:t>
      </w:r>
      <w:r w:rsidR="00FC4D0D">
        <w:rPr>
          <w:rFonts w:ascii="Segoe UI" w:hAnsi="Segoe UI" w:cs="Segoe UI"/>
          <w:sz w:val="20"/>
          <w:szCs w:val="20"/>
        </w:rPr>
        <w:t xml:space="preserve">combinando </w:t>
      </w:r>
      <w:r>
        <w:rPr>
          <w:rFonts w:ascii="Segoe UI" w:hAnsi="Segoe UI" w:cs="Segoe UI"/>
          <w:sz w:val="20"/>
          <w:szCs w:val="20"/>
        </w:rPr>
        <w:t xml:space="preserve">il </w:t>
      </w:r>
      <w:proofErr w:type="spellStart"/>
      <w:r>
        <w:rPr>
          <w:rFonts w:ascii="Segoe UI" w:hAnsi="Segoe UI" w:cs="Segoe UI"/>
          <w:sz w:val="20"/>
          <w:szCs w:val="20"/>
        </w:rPr>
        <w:t>Teldor</w:t>
      </w:r>
      <w:proofErr w:type="spellEnd"/>
      <w:r>
        <w:rPr>
          <w:rFonts w:ascii="Segoe UI" w:hAnsi="Segoe UI" w:cs="Segoe UI"/>
          <w:sz w:val="20"/>
          <w:szCs w:val="20"/>
        </w:rPr>
        <w:t xml:space="preserve"> Plus con </w:t>
      </w:r>
      <w:r w:rsidR="00B6424C">
        <w:rPr>
          <w:rFonts w:ascii="Segoe UI" w:hAnsi="Segoe UI" w:cs="Segoe UI"/>
          <w:sz w:val="20"/>
          <w:szCs w:val="20"/>
        </w:rPr>
        <w:t xml:space="preserve">un </w:t>
      </w:r>
      <w:r>
        <w:rPr>
          <w:rFonts w:ascii="Segoe UI" w:hAnsi="Segoe UI" w:cs="Segoe UI"/>
          <w:sz w:val="20"/>
          <w:szCs w:val="20"/>
        </w:rPr>
        <w:t>prodott</w:t>
      </w:r>
      <w:r w:rsidR="00B6424C">
        <w:rPr>
          <w:rFonts w:ascii="Segoe UI" w:hAnsi="Segoe UI" w:cs="Segoe UI"/>
          <w:sz w:val="20"/>
          <w:szCs w:val="20"/>
        </w:rPr>
        <w:t>o</w:t>
      </w:r>
      <w:r>
        <w:rPr>
          <w:rFonts w:ascii="Segoe UI" w:hAnsi="Segoe UI" w:cs="Segoe UI"/>
          <w:sz w:val="20"/>
          <w:szCs w:val="20"/>
        </w:rPr>
        <w:t xml:space="preserve"> </w:t>
      </w:r>
      <w:r w:rsidR="00B6424C">
        <w:rPr>
          <w:rFonts w:ascii="Segoe UI" w:hAnsi="Segoe UI" w:cs="Segoe UI"/>
          <w:sz w:val="20"/>
          <w:szCs w:val="20"/>
        </w:rPr>
        <w:t>biologico, 3Logy a</w:t>
      </w:r>
      <w:r w:rsidR="00B6424C" w:rsidRPr="00D952D5">
        <w:rPr>
          <w:rFonts w:ascii="Segoe UI" w:hAnsi="Segoe UI" w:cs="Segoe UI"/>
          <w:sz w:val="20"/>
          <w:szCs w:val="20"/>
        </w:rPr>
        <w:t xml:space="preserve"> base </w:t>
      </w:r>
      <w:r w:rsidR="00B6424C">
        <w:rPr>
          <w:rFonts w:ascii="Segoe UI" w:hAnsi="Segoe UI" w:cs="Segoe UI"/>
          <w:sz w:val="20"/>
          <w:szCs w:val="20"/>
        </w:rPr>
        <w:t>di</w:t>
      </w:r>
      <w:r w:rsidR="00B6424C" w:rsidRPr="00D952D5">
        <w:rPr>
          <w:rFonts w:ascii="Segoe UI" w:hAnsi="Segoe UI" w:cs="Segoe UI"/>
          <w:sz w:val="20"/>
          <w:szCs w:val="20"/>
        </w:rPr>
        <w:t xml:space="preserve"> sostanze naturali</w:t>
      </w:r>
      <w:r w:rsidR="00B6424C">
        <w:rPr>
          <w:rFonts w:ascii="Segoe UI" w:hAnsi="Segoe UI" w:cs="Segoe UI"/>
          <w:sz w:val="20"/>
          <w:szCs w:val="20"/>
        </w:rPr>
        <w:t xml:space="preserve"> </w:t>
      </w:r>
      <w:r w:rsidR="00B6424C" w:rsidRPr="00BE5F12">
        <w:rPr>
          <w:rFonts w:ascii="Segoe UI" w:hAnsi="Segoe UI" w:cs="Segoe UI"/>
          <w:sz w:val="20"/>
          <w:szCs w:val="20"/>
        </w:rPr>
        <w:t>eugenolo, geraniolo e timolo</w:t>
      </w:r>
      <w:r w:rsidR="00B6424C">
        <w:rPr>
          <w:rFonts w:ascii="Segoe UI" w:hAnsi="Segoe UI" w:cs="Segoe UI"/>
          <w:sz w:val="20"/>
          <w:szCs w:val="20"/>
        </w:rPr>
        <w:t xml:space="preserve">, in prossimità della </w:t>
      </w:r>
      <w:r w:rsidR="00D952D5" w:rsidRPr="00D952D5">
        <w:rPr>
          <w:rFonts w:ascii="Segoe UI" w:hAnsi="Segoe UI" w:cs="Segoe UI"/>
          <w:sz w:val="20"/>
          <w:szCs w:val="20"/>
        </w:rPr>
        <w:t xml:space="preserve">vendemmia. </w:t>
      </w:r>
      <w:r w:rsidR="00B6424C">
        <w:rPr>
          <w:rFonts w:ascii="Segoe UI" w:hAnsi="Segoe UI" w:cs="Segoe UI"/>
          <w:sz w:val="20"/>
          <w:szCs w:val="20"/>
        </w:rPr>
        <w:t>Inoltre</w:t>
      </w:r>
      <w:r w:rsidR="00D952D5" w:rsidRPr="00D952D5">
        <w:rPr>
          <w:rFonts w:ascii="Segoe UI" w:hAnsi="Segoe UI" w:cs="Segoe UI"/>
          <w:sz w:val="20"/>
          <w:szCs w:val="20"/>
        </w:rPr>
        <w:t xml:space="preserve">, </w:t>
      </w:r>
      <w:r w:rsidR="00B6424C">
        <w:rPr>
          <w:rFonts w:ascii="Segoe UI" w:hAnsi="Segoe UI" w:cs="Segoe UI"/>
          <w:sz w:val="20"/>
          <w:szCs w:val="20"/>
        </w:rPr>
        <w:t>sono stati testati anche altri</w:t>
      </w:r>
      <w:r w:rsidR="00D952D5">
        <w:rPr>
          <w:rFonts w:ascii="Segoe UI" w:hAnsi="Segoe UI" w:cs="Segoe UI"/>
          <w:sz w:val="20"/>
          <w:szCs w:val="20"/>
        </w:rPr>
        <w:t xml:space="preserve"> prodotti</w:t>
      </w:r>
      <w:r w:rsidR="00B6424C">
        <w:rPr>
          <w:rFonts w:ascii="Segoe UI" w:hAnsi="Segoe UI" w:cs="Segoe UI"/>
          <w:sz w:val="20"/>
          <w:szCs w:val="20"/>
        </w:rPr>
        <w:t>,</w:t>
      </w:r>
      <w:r w:rsidR="00FC4D0D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B6424C">
        <w:rPr>
          <w:rFonts w:ascii="Segoe UI" w:hAnsi="Segoe UI" w:cs="Segoe UI"/>
          <w:sz w:val="20"/>
          <w:szCs w:val="20"/>
        </w:rPr>
        <w:t>Fimum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B6424C">
        <w:rPr>
          <w:rFonts w:ascii="Segoe UI" w:hAnsi="Segoe UI" w:cs="Segoe UI"/>
          <w:sz w:val="20"/>
          <w:szCs w:val="20"/>
        </w:rPr>
        <w:t>Fruchtkalk</w:t>
      </w:r>
      <w:proofErr w:type="spellEnd"/>
      <w:r w:rsidR="00D952D5" w:rsidRPr="00D952D5">
        <w:rPr>
          <w:rFonts w:ascii="Segoe UI" w:hAnsi="Segoe UI" w:cs="Segoe UI"/>
          <w:sz w:val="20"/>
          <w:szCs w:val="20"/>
        </w:rPr>
        <w:t xml:space="preserve"> </w:t>
      </w:r>
      <w:r w:rsidR="00B6424C">
        <w:rPr>
          <w:rFonts w:ascii="Segoe UI" w:hAnsi="Segoe UI" w:cs="Segoe UI"/>
          <w:sz w:val="20"/>
          <w:szCs w:val="20"/>
        </w:rPr>
        <w:t xml:space="preserve">(a base di idrossido di calcio) </w:t>
      </w:r>
      <w:r w:rsidR="00D952D5" w:rsidRPr="00D952D5">
        <w:rPr>
          <w:rFonts w:ascii="Segoe UI" w:hAnsi="Segoe UI" w:cs="Segoe UI"/>
          <w:sz w:val="20"/>
          <w:szCs w:val="20"/>
        </w:rPr>
        <w:t xml:space="preserve">e </w:t>
      </w:r>
      <w:proofErr w:type="spellStart"/>
      <w:r w:rsidR="00B6424C">
        <w:rPr>
          <w:rFonts w:ascii="Segoe UI" w:hAnsi="Segoe UI" w:cs="Segoe UI"/>
          <w:sz w:val="20"/>
          <w:szCs w:val="20"/>
        </w:rPr>
        <w:t>Armicarb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 85 (a base di </w:t>
      </w:r>
      <w:r w:rsidR="00D952D5" w:rsidRPr="00D952D5">
        <w:rPr>
          <w:rFonts w:ascii="Segoe UI" w:hAnsi="Segoe UI" w:cs="Segoe UI"/>
          <w:sz w:val="20"/>
          <w:szCs w:val="20"/>
        </w:rPr>
        <w:t>bicarbonato di potassio</w:t>
      </w:r>
      <w:r w:rsidR="00B6424C">
        <w:rPr>
          <w:rFonts w:ascii="Segoe UI" w:hAnsi="Segoe UI" w:cs="Segoe UI"/>
          <w:sz w:val="20"/>
          <w:szCs w:val="20"/>
        </w:rPr>
        <w:t>).</w:t>
      </w:r>
      <w:r w:rsidR="00D952D5" w:rsidRPr="00D952D5">
        <w:rPr>
          <w:rFonts w:ascii="Segoe UI" w:hAnsi="Segoe UI" w:cs="Segoe UI"/>
          <w:sz w:val="20"/>
          <w:szCs w:val="20"/>
        </w:rPr>
        <w:t xml:space="preserve"> </w:t>
      </w:r>
      <w:r w:rsidR="008D7920">
        <w:rPr>
          <w:rFonts w:ascii="Segoe UI" w:hAnsi="Segoe UI" w:cs="Segoe UI"/>
          <w:sz w:val="20"/>
          <w:szCs w:val="20"/>
        </w:rPr>
        <w:t xml:space="preserve">Da questa prova è emerso che </w:t>
      </w:r>
      <w:r w:rsidR="00FC4D0D">
        <w:rPr>
          <w:rFonts w:ascii="Segoe UI" w:hAnsi="Segoe UI" w:cs="Segoe UI"/>
          <w:sz w:val="20"/>
          <w:szCs w:val="20"/>
        </w:rPr>
        <w:t>solo</w:t>
      </w:r>
      <w:r w:rsidR="00D952D5" w:rsidRPr="00D952D5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B6424C">
        <w:rPr>
          <w:rFonts w:ascii="Segoe UI" w:hAnsi="Segoe UI" w:cs="Segoe UI"/>
          <w:sz w:val="20"/>
          <w:szCs w:val="20"/>
        </w:rPr>
        <w:t>Armicarb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 85 </w:t>
      </w:r>
      <w:r w:rsidR="008D7920">
        <w:rPr>
          <w:rFonts w:ascii="Segoe UI" w:hAnsi="Segoe UI" w:cs="Segoe UI"/>
          <w:sz w:val="20"/>
          <w:szCs w:val="20"/>
        </w:rPr>
        <w:t>riduce</w:t>
      </w:r>
      <w:r w:rsidR="00D952D5" w:rsidRPr="00D952D5">
        <w:rPr>
          <w:rFonts w:ascii="Segoe UI" w:hAnsi="Segoe UI" w:cs="Segoe UI"/>
          <w:sz w:val="20"/>
          <w:szCs w:val="20"/>
        </w:rPr>
        <w:t xml:space="preserve"> </w:t>
      </w:r>
      <w:r w:rsidR="00D952D5">
        <w:rPr>
          <w:rFonts w:ascii="Segoe UI" w:hAnsi="Segoe UI" w:cs="Segoe UI"/>
          <w:sz w:val="20"/>
          <w:szCs w:val="20"/>
        </w:rPr>
        <w:t>notevolmente</w:t>
      </w:r>
      <w:r w:rsidR="00D952D5" w:rsidRPr="00D952D5">
        <w:rPr>
          <w:rFonts w:ascii="Segoe UI" w:hAnsi="Segoe UI" w:cs="Segoe UI"/>
          <w:sz w:val="20"/>
          <w:szCs w:val="20"/>
        </w:rPr>
        <w:t xml:space="preserve"> l’infestazione. </w:t>
      </w:r>
    </w:p>
    <w:p w14:paraId="58E6CE42" w14:textId="12BA63A9" w:rsidR="00D952D5" w:rsidRPr="00D952D5" w:rsidRDefault="00D952D5" w:rsidP="00D952D5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D952D5">
        <w:rPr>
          <w:rFonts w:ascii="Segoe UI" w:hAnsi="Segoe UI" w:cs="Segoe UI"/>
          <w:sz w:val="20"/>
          <w:szCs w:val="20"/>
        </w:rPr>
        <w:lastRenderedPageBreak/>
        <w:t xml:space="preserve">Nel complesso, le prove confermano che </w:t>
      </w:r>
      <w:proofErr w:type="spellStart"/>
      <w:r w:rsidR="00B6424C">
        <w:rPr>
          <w:rFonts w:ascii="Segoe UI" w:hAnsi="Segoe UI" w:cs="Segoe UI"/>
          <w:sz w:val="20"/>
          <w:szCs w:val="20"/>
        </w:rPr>
        <w:t>Teldor</w:t>
      </w:r>
      <w:proofErr w:type="spellEnd"/>
      <w:r w:rsidR="00B6424C">
        <w:rPr>
          <w:rFonts w:ascii="Segoe UI" w:hAnsi="Segoe UI" w:cs="Segoe UI"/>
          <w:sz w:val="20"/>
          <w:szCs w:val="20"/>
        </w:rPr>
        <w:t xml:space="preserve"> Plus</w:t>
      </w:r>
      <w:r w:rsidR="00693CC1" w:rsidRPr="00BE5F12">
        <w:rPr>
          <w:rFonts w:ascii="Segoe UI" w:hAnsi="Segoe UI" w:cs="Segoe UI"/>
          <w:sz w:val="20"/>
          <w:szCs w:val="20"/>
        </w:rPr>
        <w:t xml:space="preserve">, </w:t>
      </w:r>
      <w:proofErr w:type="spellStart"/>
      <w:r w:rsidR="00B6424C">
        <w:rPr>
          <w:rFonts w:ascii="Segoe UI" w:hAnsi="Segoe UI" w:cs="Segoe UI"/>
          <w:sz w:val="20"/>
          <w:szCs w:val="20"/>
        </w:rPr>
        <w:t>Geoxe</w:t>
      </w:r>
      <w:proofErr w:type="spellEnd"/>
      <w:r w:rsidR="00B6424C" w:rsidRPr="00BE5F12">
        <w:rPr>
          <w:rFonts w:ascii="Segoe UI" w:hAnsi="Segoe UI" w:cs="Segoe UI"/>
          <w:sz w:val="20"/>
          <w:szCs w:val="20"/>
        </w:rPr>
        <w:t xml:space="preserve"> </w:t>
      </w:r>
      <w:r w:rsidRPr="00D952D5">
        <w:rPr>
          <w:rFonts w:ascii="Segoe UI" w:hAnsi="Segoe UI" w:cs="Segoe UI"/>
          <w:sz w:val="20"/>
          <w:szCs w:val="20"/>
        </w:rPr>
        <w:t xml:space="preserve">e </w:t>
      </w:r>
      <w:proofErr w:type="spellStart"/>
      <w:r w:rsidR="008D7920">
        <w:rPr>
          <w:rFonts w:ascii="Segoe UI" w:hAnsi="Segoe UI" w:cs="Segoe UI"/>
          <w:sz w:val="20"/>
          <w:szCs w:val="20"/>
        </w:rPr>
        <w:t>Armicarb</w:t>
      </w:r>
      <w:proofErr w:type="spellEnd"/>
      <w:r w:rsidR="008D7920">
        <w:rPr>
          <w:rFonts w:ascii="Segoe UI" w:hAnsi="Segoe UI" w:cs="Segoe UI"/>
          <w:sz w:val="20"/>
          <w:szCs w:val="20"/>
        </w:rPr>
        <w:t xml:space="preserve"> 85</w:t>
      </w:r>
      <w:r w:rsidRPr="00D952D5">
        <w:rPr>
          <w:rFonts w:ascii="Segoe UI" w:hAnsi="Segoe UI" w:cs="Segoe UI"/>
          <w:sz w:val="20"/>
          <w:szCs w:val="20"/>
        </w:rPr>
        <w:t xml:space="preserve"> restano attualmente i mezzi più affidabili per una difesa efficace contro la botrite.</w:t>
      </w:r>
      <w:r w:rsidR="00693CC1">
        <w:rPr>
          <w:rFonts w:ascii="Segoe UI" w:hAnsi="Segoe UI" w:cs="Segoe UI"/>
          <w:sz w:val="20"/>
          <w:szCs w:val="20"/>
        </w:rPr>
        <w:t xml:space="preserve"> </w:t>
      </w:r>
    </w:p>
    <w:p w14:paraId="70BE8EC3" w14:textId="37B872A4" w:rsidR="009457EC" w:rsidRDefault="009457EC" w:rsidP="009457EC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E8A0914" w14:textId="77777777" w:rsidR="00016AA0" w:rsidRPr="00E361CD" w:rsidRDefault="00016AA0" w:rsidP="00016AA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tbl>
      <w:tblPr>
        <w:tblW w:w="942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8"/>
      </w:tblGrid>
      <w:tr w:rsidR="005E09B4" w:rsidRPr="006208A6" w14:paraId="012D6C87" w14:textId="77777777" w:rsidTr="005E09B4">
        <w:trPr>
          <w:trHeight w:val="242"/>
        </w:trPr>
        <w:tc>
          <w:tcPr>
            <w:tcW w:w="942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7DED4DB8" w14:textId="77777777" w:rsidR="005E09B4" w:rsidRPr="006208A6" w:rsidRDefault="005E09B4" w:rsidP="00C96309">
            <w:pPr>
              <w:spacing w:after="0" w:line="240" w:lineRule="auto"/>
              <w:jc w:val="both"/>
              <w:rPr>
                <w:rFonts w:ascii="Segoe UI" w:eastAsia="Avenir 35 Light" w:hAnsi="Segoe UI" w:cs="Segoe UI"/>
                <w:b/>
                <w:bCs/>
                <w:color w:val="231F20"/>
                <w:sz w:val="20"/>
                <w:szCs w:val="20"/>
              </w:rPr>
            </w:pPr>
            <w:r w:rsidRPr="006208A6">
              <w:rPr>
                <w:rFonts w:ascii="Segoe UI" w:eastAsia="Avenir 35 Light" w:hAnsi="Segoe UI" w:cs="Segoe UI"/>
                <w:b/>
                <w:bCs/>
                <w:color w:val="231F20"/>
                <w:sz w:val="20"/>
                <w:szCs w:val="20"/>
              </w:rPr>
              <w:t>Centro di Sperimentazione Laimburg</w:t>
            </w:r>
          </w:p>
          <w:p w14:paraId="13CB8156" w14:textId="01322F12" w:rsidR="005E09B4" w:rsidRPr="006208A6" w:rsidRDefault="005E09B4" w:rsidP="00C96309">
            <w:pPr>
              <w:spacing w:after="0" w:line="240" w:lineRule="auto"/>
              <w:jc w:val="both"/>
              <w:rPr>
                <w:rFonts w:ascii="Segoe UI" w:eastAsia="Avenir 35 Light" w:hAnsi="Segoe UI" w:cs="Segoe UI"/>
                <w:color w:val="231F20"/>
                <w:sz w:val="20"/>
                <w:szCs w:val="20"/>
              </w:rPr>
            </w:pPr>
            <w:bookmarkStart w:id="0" w:name="_Hlk103194559"/>
            <w:r w:rsidRPr="006208A6">
              <w:rPr>
                <w:rFonts w:ascii="Segoe UI" w:eastAsia="Avenir 35 Light" w:hAnsi="Segoe UI" w:cs="Segoe UI"/>
                <w:color w:val="231F20"/>
                <w:sz w:val="20"/>
                <w:szCs w:val="20"/>
              </w:rPr>
              <w:t xml:space="preserve">Il Centro di Sperimentazione Laimburg, fondato nel 1975, è il centro di ricerca per l’agricoltura e la qualità degli alimenti in Alto Adige. Attraverso attività di sperimentazione e ricerca effettuate con criteri scientifici creiamo know-how, elaboriamo soluzioni e realizziamo innovazioni per l’agricoltura e la trasformazione agroalimentare. Con le nostre ricerche garantiamo in Alto Adige la coltivazione e la produzione di prodotti agricoli di alta qualità e copriamo l'intera catena di produzione alimentare, dalla coltivazione al prodotto finito. Nelle aree montane del territorio, la nostra ricerca applicata contribuisce a sostenere e promuovere la varietà delle colture locali. In questo modo diamo un contributo concreto allo sviluppo delle aziende agricole locali. Il Programma di attività viene elaborato e definito annualmente insieme ai rappresentanti dell’agricoltura e della trasformazione agroalimentare locale. In questo modo viene assicurato che le nostre attività di sperimentazione e di ricerca siano rivolte alle necessità concrete della realtà agricola. Ogni anno i nostri oltre 200 collaboratrici e collaboratori lavorano a </w:t>
            </w:r>
            <w:r w:rsidR="008D1B07">
              <w:rPr>
                <w:rFonts w:ascii="Segoe UI" w:eastAsia="Avenir 35 Light" w:hAnsi="Segoe UI" w:cs="Segoe UI"/>
                <w:color w:val="231F20"/>
                <w:sz w:val="20"/>
                <w:szCs w:val="20"/>
              </w:rPr>
              <w:t xml:space="preserve">più di 400 </w:t>
            </w:r>
            <w:r w:rsidRPr="006208A6">
              <w:rPr>
                <w:rFonts w:ascii="Segoe UI" w:eastAsia="Avenir 35 Light" w:hAnsi="Segoe UI" w:cs="Segoe UI"/>
                <w:color w:val="231F20"/>
                <w:sz w:val="20"/>
                <w:szCs w:val="20"/>
              </w:rPr>
              <w:t>progetti di ricerca</w:t>
            </w:r>
            <w:bookmarkEnd w:id="0"/>
            <w:r w:rsidRPr="006208A6">
              <w:rPr>
                <w:rFonts w:ascii="Segoe UI" w:eastAsia="Avenir 35 Light" w:hAnsi="Segoe UI" w:cs="Segoe UI"/>
                <w:color w:val="231F20"/>
                <w:sz w:val="20"/>
                <w:szCs w:val="20"/>
              </w:rPr>
              <w:t xml:space="preserve"> sia nei nostri laboratori a Vadena e al NOI Techpark, sia sui campi sperimentali dell'Agenzia Demanio Provinciale, con la quale manteniamo una storica collaborazione.</w:t>
            </w:r>
          </w:p>
        </w:tc>
      </w:tr>
      <w:tr w:rsidR="005E09B4" w:rsidRPr="00132096" w14:paraId="69AAA703" w14:textId="77777777" w:rsidTr="005E09B4">
        <w:trPr>
          <w:trHeight w:val="35"/>
        </w:trPr>
        <w:tc>
          <w:tcPr>
            <w:tcW w:w="9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FC35D9" w14:textId="77777777" w:rsidR="00016AA0" w:rsidRPr="00EB5FF2" w:rsidRDefault="00016AA0" w:rsidP="00C96309">
            <w:pPr>
              <w:pStyle w:val="Corpotesto"/>
              <w:spacing w:before="0"/>
              <w:ind w:left="0"/>
              <w:jc w:val="both"/>
              <w:rPr>
                <w:rFonts w:ascii="Segoe UI" w:eastAsia="Segoe UI" w:hAnsi="Segoe UI" w:cs="Segoe UI"/>
                <w:b/>
                <w:bCs/>
                <w:color w:val="231F20"/>
                <w:sz w:val="20"/>
                <w:szCs w:val="20"/>
                <w:lang w:val="it-IT"/>
              </w:rPr>
            </w:pPr>
          </w:p>
        </w:tc>
      </w:tr>
      <w:tr w:rsidR="005E09B4" w:rsidRPr="00020A09" w14:paraId="26271E21" w14:textId="77777777" w:rsidTr="005E09B4">
        <w:trPr>
          <w:trHeight w:val="153"/>
        </w:trPr>
        <w:tc>
          <w:tcPr>
            <w:tcW w:w="9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2D60E7B" w14:textId="77777777" w:rsidR="005E09B4" w:rsidRPr="00594402" w:rsidRDefault="005E09B4" w:rsidP="00C96309">
            <w:pPr>
              <w:spacing w:after="0" w:line="240" w:lineRule="auto"/>
              <w:jc w:val="both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00594402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Immagini e crediti:</w:t>
            </w:r>
          </w:p>
          <w:p w14:paraId="78F67034" w14:textId="77777777" w:rsidR="005E09B4" w:rsidRPr="00594402" w:rsidRDefault="005E09B4" w:rsidP="00C96309">
            <w:pPr>
              <w:spacing w:after="0" w:line="240" w:lineRule="auto"/>
              <w:jc w:val="both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</w:p>
          <w:p w14:paraId="79EB2743" w14:textId="77777777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Fig. 1: Il direttore del Centro di Sperimentazione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>, Michael Oberhuber, ha dato il benvenuto alle circa 100 persone partecipanti alla Giornata del vino e della vite.</w:t>
            </w:r>
          </w:p>
          <w:p w14:paraId="4D4E1D1D" w14:textId="5688F4A4" w:rsid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©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Research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Centre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agnese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martinelli</w:t>
            </w:r>
          </w:p>
          <w:p w14:paraId="2357BBF6" w14:textId="77777777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48BFD167" w14:textId="77777777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Fig. 2: Ulrich Pedri, responsabile del settore Enologia del Centro di Sperimentazione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>, ha presentato le prove sul raffreddamento delle uve.</w:t>
            </w:r>
          </w:p>
          <w:p w14:paraId="01D13D87" w14:textId="6605BF05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©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Research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Centre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agnese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martinelli</w:t>
            </w:r>
          </w:p>
          <w:p w14:paraId="51579C67" w14:textId="77777777" w:rsid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5332271A" w14:textId="057E177C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Fig. 3: Degustazione di vini sperimentali da diversi sistemi di allevamento del Pinot nero e di vini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dealcolati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>.</w:t>
            </w:r>
          </w:p>
          <w:p w14:paraId="46130017" w14:textId="3AC459F5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©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</w:rPr>
              <w:t>Research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Centre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agnese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martinelli</w:t>
            </w:r>
          </w:p>
          <w:p w14:paraId="54B5EBF2" w14:textId="77777777" w:rsid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61F7558F" w14:textId="71A450DB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Fig. 4: </w:t>
            </w:r>
            <w:r>
              <w:rPr>
                <w:rFonts w:ascii="Segoe UI" w:hAnsi="Segoe UI" w:cs="Segoe UI"/>
                <w:sz w:val="20"/>
                <w:szCs w:val="20"/>
              </w:rPr>
              <w:t>Ulrich Pedri nella</w:t>
            </w: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cantina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sperimentale del Centro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</w:p>
          <w:p w14:paraId="689A3BAB" w14:textId="231FC42C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Research Centre</w:t>
            </w:r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/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ivo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c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>orrà</w:t>
            </w:r>
            <w:proofErr w:type="spellEnd"/>
          </w:p>
          <w:p w14:paraId="6FC5C5B3" w14:textId="77777777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  <w:p w14:paraId="7FEFFE76" w14:textId="059E5DA3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Fig. 5: Presenza di </w:t>
            </w:r>
            <w:r>
              <w:rPr>
                <w:rFonts w:ascii="Segoe UI" w:hAnsi="Segoe UI" w:cs="Segoe UI"/>
                <w:sz w:val="20"/>
                <w:szCs w:val="20"/>
              </w:rPr>
              <w:t>botrite</w:t>
            </w: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 sui grappoli.</w:t>
            </w:r>
          </w:p>
          <w:p w14:paraId="441CF9C0" w14:textId="77777777" w:rsidR="005E09B4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Research Centre</w:t>
            </w:r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c</w:t>
            </w:r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hristian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roschatt</w:t>
            </w:r>
            <w:proofErr w:type="spellEnd"/>
          </w:p>
          <w:p w14:paraId="4A1DB14C" w14:textId="77777777" w:rsid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  <w:highlight w:val="yellow"/>
                <w:lang w:val="en-US"/>
              </w:rPr>
            </w:pPr>
          </w:p>
          <w:p w14:paraId="70279310" w14:textId="1BBCA23F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Fig. </w:t>
            </w:r>
            <w:r>
              <w:rPr>
                <w:rFonts w:ascii="Segoe UI" w:hAnsi="Segoe UI" w:cs="Segoe UI"/>
                <w:sz w:val="20"/>
                <w:szCs w:val="20"/>
              </w:rPr>
              <w:t>6</w:t>
            </w:r>
            <w:r w:rsidRPr="00020A09">
              <w:rPr>
                <w:rFonts w:ascii="Segoe UI" w:hAnsi="Segoe UI" w:cs="Segoe UI"/>
                <w:sz w:val="20"/>
                <w:szCs w:val="20"/>
              </w:rPr>
              <w:t xml:space="preserve">: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Christian Roschatt del gruppo di lavoro Valutazione Fitofarmaci del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Centro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Laimburg</w:t>
            </w:r>
            <w:proofErr w:type="spellEnd"/>
          </w:p>
          <w:p w14:paraId="3941C094" w14:textId="77777777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Laimburg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Research Centre/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ivo</w:t>
            </w:r>
            <w:proofErr w:type="spellEnd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A09">
              <w:rPr>
                <w:rFonts w:ascii="Segoe UI" w:hAnsi="Segoe UI" w:cs="Segoe UI"/>
                <w:sz w:val="20"/>
                <w:szCs w:val="20"/>
                <w:lang w:val="en-US"/>
              </w:rPr>
              <w:t>c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>orrà</w:t>
            </w:r>
            <w:proofErr w:type="spellEnd"/>
          </w:p>
          <w:p w14:paraId="3DF61F9A" w14:textId="370E5161" w:rsidR="00020A09" w:rsidRPr="00020A09" w:rsidRDefault="00020A09" w:rsidP="00020A09">
            <w:pPr>
              <w:spacing w:after="0" w:line="240" w:lineRule="auto"/>
              <w:jc w:val="both"/>
              <w:rPr>
                <w:rFonts w:ascii="Segoe UI" w:hAnsi="Segoe UI" w:cs="Segoe UI"/>
                <w:sz w:val="20"/>
                <w:szCs w:val="20"/>
                <w:highlight w:val="yellow"/>
                <w:lang w:val="en-US"/>
              </w:rPr>
            </w:pPr>
          </w:p>
        </w:tc>
      </w:tr>
    </w:tbl>
    <w:p w14:paraId="7838AF2A" w14:textId="77777777" w:rsidR="003118C7" w:rsidRPr="00592CB5" w:rsidRDefault="003118C7" w:rsidP="005E09B4">
      <w:pPr>
        <w:spacing w:after="0" w:line="240" w:lineRule="auto"/>
        <w:rPr>
          <w:rFonts w:ascii="Segoe UI" w:hAnsi="Segoe UI" w:cs="Segoe UI"/>
          <w:sz w:val="20"/>
          <w:szCs w:val="20"/>
          <w:lang w:val="en-US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1"/>
        <w:gridCol w:w="6787"/>
      </w:tblGrid>
      <w:tr w:rsidR="005E09B4" w:rsidRPr="00DC3BB1" w14:paraId="6E2286EA" w14:textId="77777777" w:rsidTr="00C96309">
        <w:tc>
          <w:tcPr>
            <w:tcW w:w="2501" w:type="dxa"/>
            <w:vAlign w:val="center"/>
          </w:tcPr>
          <w:p w14:paraId="4A1840EA" w14:textId="77777777" w:rsidR="005E09B4" w:rsidRPr="00DC3BB1" w:rsidRDefault="005E09B4" w:rsidP="00C96309">
            <w:pPr>
              <w:rPr>
                <w:rFonts w:ascii="Segoe UI" w:hAnsi="Segoe UI" w:cs="Segoe UI"/>
                <w:sz w:val="20"/>
                <w:szCs w:val="20"/>
                <w:lang w:val="it-IT"/>
              </w:rPr>
            </w:pPr>
            <w:r w:rsidRPr="00DC3BB1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2678E2EA" wp14:editId="06A5F112">
                  <wp:extent cx="1451459" cy="618978"/>
                  <wp:effectExtent l="0" t="0" r="0" b="0"/>
                  <wp:docPr id="1" name="Immagine 1" descr="Immagine che contiene testo, Carattere, Elementi grafici, tipografi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, Carattere, Elementi grafici, tipografia&#10;&#10;Il contenuto generato dall'IA potrebbe non essere corretto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662" cy="631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7" w:type="dxa"/>
          </w:tcPr>
          <w:p w14:paraId="1F7F350A" w14:textId="77777777" w:rsidR="005E09B4" w:rsidRPr="00DC3BB1" w:rsidRDefault="005E09B4" w:rsidP="00C96309">
            <w:pPr>
              <w:jc w:val="both"/>
              <w:rPr>
                <w:rFonts w:ascii="Segoe UI" w:hAnsi="Segoe UI" w:cs="Segoe UI"/>
                <w:sz w:val="20"/>
                <w:szCs w:val="20"/>
                <w:lang w:val="it-IT"/>
              </w:rPr>
            </w:pPr>
            <w:r w:rsidRPr="00DC3BB1">
              <w:rPr>
                <w:rFonts w:ascii="Segoe UI" w:hAnsi="Segoe UI" w:cs="Segoe UI"/>
                <w:sz w:val="18"/>
                <w:szCs w:val="18"/>
                <w:lang w:val="it-IT"/>
              </w:rPr>
              <w:t xml:space="preserve">Laimburg Journal è la piattaforma digitale per le pubblicazioni scientifiche Open Access del Centro di Sperimentazione Laimburg. Serve al trasferimento di competenze e divulgazione delle conoscenze tecniche nell’ambito del settore agricolo, delle scienze alimentari e altre scienze affini. Consulta gratuitamente le pubblicazioni qui </w:t>
            </w:r>
            <w:hyperlink r:id="rId10" w:history="1">
              <w:r w:rsidRPr="00DC3BB1">
                <w:rPr>
                  <w:rStyle w:val="Collegamentoipertestuale"/>
                  <w:rFonts w:ascii="Segoe UI" w:hAnsi="Segoe UI" w:cs="Segoe UI"/>
                  <w:sz w:val="18"/>
                  <w:szCs w:val="18"/>
                  <w:lang w:val="it-IT"/>
                </w:rPr>
                <w:t>laimburg.journal.it</w:t>
              </w:r>
            </w:hyperlink>
            <w:r w:rsidRPr="00DC3BB1">
              <w:rPr>
                <w:rFonts w:ascii="Segoe UI" w:hAnsi="Segoe UI" w:cs="Segoe UI"/>
                <w:sz w:val="18"/>
                <w:szCs w:val="18"/>
                <w:lang w:val="it-IT"/>
              </w:rPr>
              <w:t xml:space="preserve"> </w:t>
            </w:r>
          </w:p>
        </w:tc>
      </w:tr>
    </w:tbl>
    <w:p w14:paraId="25BBA7DA" w14:textId="77777777" w:rsidR="003A1110" w:rsidRPr="0081608F" w:rsidRDefault="003A1110" w:rsidP="008D1B07">
      <w:pPr>
        <w:jc w:val="both"/>
        <w:rPr>
          <w:rFonts w:ascii="Segoe UI" w:hAnsi="Segoe UI" w:cs="Segoe UI"/>
          <w:sz w:val="20"/>
          <w:szCs w:val="20"/>
        </w:rPr>
      </w:pPr>
    </w:p>
    <w:sectPr w:rsidR="003A1110" w:rsidRPr="0081608F" w:rsidSect="00F1456E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9D9A" w14:textId="77777777" w:rsidR="0081608F" w:rsidRDefault="0081608F" w:rsidP="0081608F">
      <w:pPr>
        <w:spacing w:after="0" w:line="240" w:lineRule="auto"/>
      </w:pPr>
      <w:r>
        <w:separator/>
      </w:r>
    </w:p>
  </w:endnote>
  <w:endnote w:type="continuationSeparator" w:id="0">
    <w:p w14:paraId="4EA6D24D" w14:textId="77777777" w:rsidR="0081608F" w:rsidRDefault="0081608F" w:rsidP="0081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3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F933A6" w14:paraId="273E6377" w14:textId="77777777" w:rsidTr="48F933A6">
      <w:trPr>
        <w:trHeight w:val="300"/>
      </w:trPr>
      <w:tc>
        <w:tcPr>
          <w:tcW w:w="3120" w:type="dxa"/>
        </w:tcPr>
        <w:p w14:paraId="45443755" w14:textId="0F1CE4DB" w:rsidR="48F933A6" w:rsidRDefault="48F933A6" w:rsidP="48F933A6">
          <w:pPr>
            <w:pStyle w:val="Intestazione"/>
            <w:ind w:left="-115"/>
          </w:pPr>
        </w:p>
      </w:tc>
      <w:tc>
        <w:tcPr>
          <w:tcW w:w="3120" w:type="dxa"/>
        </w:tcPr>
        <w:p w14:paraId="5959F58C" w14:textId="1FB16AAB" w:rsidR="48F933A6" w:rsidRDefault="48F933A6" w:rsidP="48F933A6">
          <w:pPr>
            <w:pStyle w:val="Intestazione"/>
            <w:jc w:val="center"/>
          </w:pPr>
        </w:p>
      </w:tc>
      <w:tc>
        <w:tcPr>
          <w:tcW w:w="3120" w:type="dxa"/>
        </w:tcPr>
        <w:p w14:paraId="0436F348" w14:textId="006BEF79" w:rsidR="48F933A6" w:rsidRDefault="48F933A6" w:rsidP="48F933A6">
          <w:pPr>
            <w:pStyle w:val="Intestazione"/>
            <w:ind w:right="-115"/>
            <w:jc w:val="right"/>
          </w:pPr>
        </w:p>
      </w:tc>
    </w:tr>
  </w:tbl>
  <w:p w14:paraId="4A504E34" w14:textId="4FD61BAB" w:rsidR="48F933A6" w:rsidRDefault="48F933A6" w:rsidP="48F933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60AD4" w14:textId="77777777" w:rsidR="0081608F" w:rsidRDefault="0081608F" w:rsidP="0081608F">
      <w:pPr>
        <w:spacing w:after="0" w:line="240" w:lineRule="auto"/>
      </w:pPr>
      <w:r>
        <w:separator/>
      </w:r>
    </w:p>
  </w:footnote>
  <w:footnote w:type="continuationSeparator" w:id="0">
    <w:p w14:paraId="6227CC8A" w14:textId="77777777" w:rsidR="0081608F" w:rsidRDefault="0081608F" w:rsidP="00816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0B77B" w14:textId="31CC466B" w:rsidR="0081608F" w:rsidRDefault="0081608F">
    <w:pPr>
      <w:pStyle w:val="Intestazione"/>
    </w:pPr>
  </w:p>
  <w:p w14:paraId="06CFE0ED" w14:textId="736976C2" w:rsidR="0081608F" w:rsidRDefault="0081608F" w:rsidP="00082F9A">
    <w:pPr>
      <w:pStyle w:val="Intestazione"/>
    </w:pPr>
    <w:r>
      <w:rPr>
        <w:noProof/>
      </w:rPr>
      <w:drawing>
        <wp:inline distT="0" distB="0" distL="0" distR="0" wp14:anchorId="72A5D67C" wp14:editId="20236B5F">
          <wp:extent cx="2158678" cy="642852"/>
          <wp:effectExtent l="0" t="0" r="0" b="5080"/>
          <wp:docPr id="1859589440" name="Immagine 3" descr="Immagine che contiene Carattere, Elementi grafici, test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589440" name="Immagine 3" descr="Immagine che contiene Carattere, Elementi grafici, testo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472" cy="648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3EB3" w:rsidRPr="00333EB3">
      <w:t xml:space="preserve"> </w:t>
    </w:r>
    <w:r w:rsidR="009A5CEC">
      <w:t xml:space="preserve"> </w:t>
    </w:r>
    <w:r w:rsidR="009457EC">
      <w:t xml:space="preserve">                 </w:t>
    </w:r>
    <w:r w:rsidR="009A5CEC">
      <w:t xml:space="preserve">                                                                                                    </w:t>
    </w:r>
  </w:p>
  <w:p w14:paraId="2E9AC587" w14:textId="77777777" w:rsidR="0081608F" w:rsidRDefault="0081608F">
    <w:pPr>
      <w:pStyle w:val="Intestazione"/>
    </w:pPr>
  </w:p>
  <w:p w14:paraId="02EE9A40" w14:textId="77777777" w:rsidR="0081608F" w:rsidRDefault="0081608F">
    <w:pPr>
      <w:pStyle w:val="Intestazion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9C"/>
    <w:rsid w:val="00001248"/>
    <w:rsid w:val="00007681"/>
    <w:rsid w:val="0001434C"/>
    <w:rsid w:val="00016AA0"/>
    <w:rsid w:val="00020A09"/>
    <w:rsid w:val="00020E76"/>
    <w:rsid w:val="00064F4A"/>
    <w:rsid w:val="00065403"/>
    <w:rsid w:val="00066957"/>
    <w:rsid w:val="00080889"/>
    <w:rsid w:val="00082F9A"/>
    <w:rsid w:val="00094C10"/>
    <w:rsid w:val="000A2F0B"/>
    <w:rsid w:val="00111261"/>
    <w:rsid w:val="00115703"/>
    <w:rsid w:val="00132096"/>
    <w:rsid w:val="00142F4E"/>
    <w:rsid w:val="00144533"/>
    <w:rsid w:val="00153560"/>
    <w:rsid w:val="001A6C34"/>
    <w:rsid w:val="001B0607"/>
    <w:rsid w:val="001B4A59"/>
    <w:rsid w:val="001D14D5"/>
    <w:rsid w:val="001D2C31"/>
    <w:rsid w:val="001D3766"/>
    <w:rsid w:val="00211797"/>
    <w:rsid w:val="00216E50"/>
    <w:rsid w:val="0022254F"/>
    <w:rsid w:val="00263003"/>
    <w:rsid w:val="002651E1"/>
    <w:rsid w:val="002704A2"/>
    <w:rsid w:val="002757D6"/>
    <w:rsid w:val="00295CD4"/>
    <w:rsid w:val="002C38B8"/>
    <w:rsid w:val="00301A1E"/>
    <w:rsid w:val="0030338D"/>
    <w:rsid w:val="003118C7"/>
    <w:rsid w:val="0031398B"/>
    <w:rsid w:val="003250E3"/>
    <w:rsid w:val="00327EE6"/>
    <w:rsid w:val="00333EB3"/>
    <w:rsid w:val="00365847"/>
    <w:rsid w:val="00371CA8"/>
    <w:rsid w:val="00373A3A"/>
    <w:rsid w:val="00384933"/>
    <w:rsid w:val="003A1110"/>
    <w:rsid w:val="003A4A0D"/>
    <w:rsid w:val="003B13E1"/>
    <w:rsid w:val="003B7052"/>
    <w:rsid w:val="003C3EF6"/>
    <w:rsid w:val="003C48F5"/>
    <w:rsid w:val="003C51EA"/>
    <w:rsid w:val="003D1344"/>
    <w:rsid w:val="003D5BD6"/>
    <w:rsid w:val="003F1864"/>
    <w:rsid w:val="003F360F"/>
    <w:rsid w:val="00411BA1"/>
    <w:rsid w:val="004147F8"/>
    <w:rsid w:val="00416D9B"/>
    <w:rsid w:val="00463F79"/>
    <w:rsid w:val="00465FEB"/>
    <w:rsid w:val="00473186"/>
    <w:rsid w:val="0048219C"/>
    <w:rsid w:val="00485E5C"/>
    <w:rsid w:val="00486640"/>
    <w:rsid w:val="0049218A"/>
    <w:rsid w:val="004A3421"/>
    <w:rsid w:val="004C11AD"/>
    <w:rsid w:val="004E2832"/>
    <w:rsid w:val="005028ED"/>
    <w:rsid w:val="00510946"/>
    <w:rsid w:val="00515FF2"/>
    <w:rsid w:val="00526A08"/>
    <w:rsid w:val="00535F72"/>
    <w:rsid w:val="00541681"/>
    <w:rsid w:val="00565044"/>
    <w:rsid w:val="0057135E"/>
    <w:rsid w:val="0057742B"/>
    <w:rsid w:val="00583F1E"/>
    <w:rsid w:val="00586CEA"/>
    <w:rsid w:val="00592CB5"/>
    <w:rsid w:val="00594402"/>
    <w:rsid w:val="005A59DC"/>
    <w:rsid w:val="005C58A3"/>
    <w:rsid w:val="005D3476"/>
    <w:rsid w:val="005E09B4"/>
    <w:rsid w:val="00606BAA"/>
    <w:rsid w:val="00623D6C"/>
    <w:rsid w:val="00625042"/>
    <w:rsid w:val="00631F29"/>
    <w:rsid w:val="00634BCF"/>
    <w:rsid w:val="00656723"/>
    <w:rsid w:val="006622C1"/>
    <w:rsid w:val="006737C4"/>
    <w:rsid w:val="00680E72"/>
    <w:rsid w:val="006926BD"/>
    <w:rsid w:val="00693CC1"/>
    <w:rsid w:val="006947A8"/>
    <w:rsid w:val="006B744C"/>
    <w:rsid w:val="006C4736"/>
    <w:rsid w:val="006E4EC3"/>
    <w:rsid w:val="006F3B11"/>
    <w:rsid w:val="006F5B66"/>
    <w:rsid w:val="007279CD"/>
    <w:rsid w:val="007410BE"/>
    <w:rsid w:val="0077624A"/>
    <w:rsid w:val="00782C1E"/>
    <w:rsid w:val="00785C71"/>
    <w:rsid w:val="00791C72"/>
    <w:rsid w:val="007B193F"/>
    <w:rsid w:val="007D3E71"/>
    <w:rsid w:val="007E3704"/>
    <w:rsid w:val="007F1C4F"/>
    <w:rsid w:val="0081608F"/>
    <w:rsid w:val="00820664"/>
    <w:rsid w:val="0082324D"/>
    <w:rsid w:val="00834764"/>
    <w:rsid w:val="00835B5B"/>
    <w:rsid w:val="008410F6"/>
    <w:rsid w:val="008521BD"/>
    <w:rsid w:val="00854EA5"/>
    <w:rsid w:val="0089316C"/>
    <w:rsid w:val="008A1C56"/>
    <w:rsid w:val="008C6F85"/>
    <w:rsid w:val="008D1B07"/>
    <w:rsid w:val="008D7920"/>
    <w:rsid w:val="008F7E38"/>
    <w:rsid w:val="00906B43"/>
    <w:rsid w:val="009141E6"/>
    <w:rsid w:val="00942EB0"/>
    <w:rsid w:val="009457EC"/>
    <w:rsid w:val="00947E34"/>
    <w:rsid w:val="009559FC"/>
    <w:rsid w:val="009A124B"/>
    <w:rsid w:val="009A1D47"/>
    <w:rsid w:val="009A5CEC"/>
    <w:rsid w:val="009A6691"/>
    <w:rsid w:val="009A7A7C"/>
    <w:rsid w:val="009C1678"/>
    <w:rsid w:val="009D0098"/>
    <w:rsid w:val="00A12016"/>
    <w:rsid w:val="00A33DB9"/>
    <w:rsid w:val="00A37A6E"/>
    <w:rsid w:val="00A60FD7"/>
    <w:rsid w:val="00A6630F"/>
    <w:rsid w:val="00A75652"/>
    <w:rsid w:val="00A766A3"/>
    <w:rsid w:val="00AA0C3F"/>
    <w:rsid w:val="00AA51B0"/>
    <w:rsid w:val="00AD10B0"/>
    <w:rsid w:val="00AD6974"/>
    <w:rsid w:val="00AE23B2"/>
    <w:rsid w:val="00B0642A"/>
    <w:rsid w:val="00B0665C"/>
    <w:rsid w:val="00B26791"/>
    <w:rsid w:val="00B31993"/>
    <w:rsid w:val="00B6424C"/>
    <w:rsid w:val="00B728FA"/>
    <w:rsid w:val="00B72A95"/>
    <w:rsid w:val="00B81D92"/>
    <w:rsid w:val="00B830FD"/>
    <w:rsid w:val="00B8349B"/>
    <w:rsid w:val="00BA34F9"/>
    <w:rsid w:val="00BB0DB2"/>
    <w:rsid w:val="00BD5594"/>
    <w:rsid w:val="00BE0149"/>
    <w:rsid w:val="00BE5F12"/>
    <w:rsid w:val="00C11AD8"/>
    <w:rsid w:val="00C159C0"/>
    <w:rsid w:val="00C22BA7"/>
    <w:rsid w:val="00C62280"/>
    <w:rsid w:val="00CA4499"/>
    <w:rsid w:val="00CB560E"/>
    <w:rsid w:val="00CC0556"/>
    <w:rsid w:val="00CD64DA"/>
    <w:rsid w:val="00CE6E6E"/>
    <w:rsid w:val="00CF1F3D"/>
    <w:rsid w:val="00CF73C6"/>
    <w:rsid w:val="00D10468"/>
    <w:rsid w:val="00D11B79"/>
    <w:rsid w:val="00D17F72"/>
    <w:rsid w:val="00D41EDA"/>
    <w:rsid w:val="00D53960"/>
    <w:rsid w:val="00D56AD9"/>
    <w:rsid w:val="00D77A25"/>
    <w:rsid w:val="00D81913"/>
    <w:rsid w:val="00D8391C"/>
    <w:rsid w:val="00D85BD6"/>
    <w:rsid w:val="00D952D5"/>
    <w:rsid w:val="00DA7C5B"/>
    <w:rsid w:val="00DB61E8"/>
    <w:rsid w:val="00DC2EDD"/>
    <w:rsid w:val="00DE032F"/>
    <w:rsid w:val="00E361CD"/>
    <w:rsid w:val="00E44564"/>
    <w:rsid w:val="00E57A77"/>
    <w:rsid w:val="00E71A18"/>
    <w:rsid w:val="00E90DE2"/>
    <w:rsid w:val="00EB5FF2"/>
    <w:rsid w:val="00EB7078"/>
    <w:rsid w:val="00EC2CB5"/>
    <w:rsid w:val="00EC3864"/>
    <w:rsid w:val="00EC3F42"/>
    <w:rsid w:val="00EE007A"/>
    <w:rsid w:val="00EE662C"/>
    <w:rsid w:val="00EF45C9"/>
    <w:rsid w:val="00F1456E"/>
    <w:rsid w:val="00F174B4"/>
    <w:rsid w:val="00F231E6"/>
    <w:rsid w:val="00F32B4C"/>
    <w:rsid w:val="00F36B95"/>
    <w:rsid w:val="00F45CA0"/>
    <w:rsid w:val="00F5198C"/>
    <w:rsid w:val="00F64023"/>
    <w:rsid w:val="00F855DF"/>
    <w:rsid w:val="00F97719"/>
    <w:rsid w:val="00FA5623"/>
    <w:rsid w:val="00FB24EC"/>
    <w:rsid w:val="00FB2832"/>
    <w:rsid w:val="00FB306B"/>
    <w:rsid w:val="00FC4D0D"/>
    <w:rsid w:val="00FD4F5F"/>
    <w:rsid w:val="022EDBE8"/>
    <w:rsid w:val="0551D237"/>
    <w:rsid w:val="061FA384"/>
    <w:rsid w:val="0639EFF2"/>
    <w:rsid w:val="095986E8"/>
    <w:rsid w:val="09A2234B"/>
    <w:rsid w:val="09C452F3"/>
    <w:rsid w:val="09F309D4"/>
    <w:rsid w:val="0CF34171"/>
    <w:rsid w:val="0E5EF526"/>
    <w:rsid w:val="0E75ADCA"/>
    <w:rsid w:val="0EB21916"/>
    <w:rsid w:val="0F4EF64E"/>
    <w:rsid w:val="1A8F4FEC"/>
    <w:rsid w:val="1B75435E"/>
    <w:rsid w:val="1C1A8884"/>
    <w:rsid w:val="1DDF652C"/>
    <w:rsid w:val="1E3350CE"/>
    <w:rsid w:val="202B30A7"/>
    <w:rsid w:val="23FD2ECE"/>
    <w:rsid w:val="2495DF79"/>
    <w:rsid w:val="275DB220"/>
    <w:rsid w:val="276F84AF"/>
    <w:rsid w:val="2A0875CF"/>
    <w:rsid w:val="2A1AD745"/>
    <w:rsid w:val="2B4ECC7B"/>
    <w:rsid w:val="2BDA2D0E"/>
    <w:rsid w:val="2CE9BE77"/>
    <w:rsid w:val="2DB276AA"/>
    <w:rsid w:val="2E5FC6BF"/>
    <w:rsid w:val="2FFAD179"/>
    <w:rsid w:val="3208D9D2"/>
    <w:rsid w:val="32F4E026"/>
    <w:rsid w:val="3540AB46"/>
    <w:rsid w:val="35E31AB0"/>
    <w:rsid w:val="366EE789"/>
    <w:rsid w:val="369854EB"/>
    <w:rsid w:val="3B180E4A"/>
    <w:rsid w:val="3BEC04FD"/>
    <w:rsid w:val="3E278692"/>
    <w:rsid w:val="3FB4ADF1"/>
    <w:rsid w:val="402994B2"/>
    <w:rsid w:val="413EFA29"/>
    <w:rsid w:val="42B9FB13"/>
    <w:rsid w:val="4323DAAB"/>
    <w:rsid w:val="4457ABD3"/>
    <w:rsid w:val="447D8E94"/>
    <w:rsid w:val="47071E65"/>
    <w:rsid w:val="48F933A6"/>
    <w:rsid w:val="49B62792"/>
    <w:rsid w:val="4C24B933"/>
    <w:rsid w:val="4C3ECBF0"/>
    <w:rsid w:val="4CBEC727"/>
    <w:rsid w:val="4EAAA396"/>
    <w:rsid w:val="4F61F2AB"/>
    <w:rsid w:val="5296F531"/>
    <w:rsid w:val="531422F2"/>
    <w:rsid w:val="536E8780"/>
    <w:rsid w:val="547ABC69"/>
    <w:rsid w:val="54E2C7A7"/>
    <w:rsid w:val="55757CDB"/>
    <w:rsid w:val="558BEC59"/>
    <w:rsid w:val="5665F2E3"/>
    <w:rsid w:val="5A8AB84B"/>
    <w:rsid w:val="5ABF47C8"/>
    <w:rsid w:val="5FEFF1C6"/>
    <w:rsid w:val="6208785A"/>
    <w:rsid w:val="625BB7B1"/>
    <w:rsid w:val="64D77FB2"/>
    <w:rsid w:val="653050A7"/>
    <w:rsid w:val="6DC043E5"/>
    <w:rsid w:val="6E758CFE"/>
    <w:rsid w:val="6EA33D03"/>
    <w:rsid w:val="733054FD"/>
    <w:rsid w:val="73A9DE12"/>
    <w:rsid w:val="73EE9EFB"/>
    <w:rsid w:val="746A3DB8"/>
    <w:rsid w:val="746DC400"/>
    <w:rsid w:val="748887E6"/>
    <w:rsid w:val="75113EBE"/>
    <w:rsid w:val="78467804"/>
    <w:rsid w:val="79ADAAB7"/>
    <w:rsid w:val="7CBB4F61"/>
    <w:rsid w:val="7FC8E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5326"/>
  <w15:chartTrackingRefBased/>
  <w15:docId w15:val="{669A2278-9D7C-41D7-BACF-2FF8CA2A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2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2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2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2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2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2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2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2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2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2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2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2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219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219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21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21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21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21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2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2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2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21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21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219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2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219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219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16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608F"/>
  </w:style>
  <w:style w:type="paragraph" w:styleId="Pidipagina">
    <w:name w:val="footer"/>
    <w:basedOn w:val="Normale"/>
    <w:link w:val="PidipaginaCarattere"/>
    <w:uiPriority w:val="99"/>
    <w:unhideWhenUsed/>
    <w:rsid w:val="00816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608F"/>
  </w:style>
  <w:style w:type="paragraph" w:styleId="Corpotesto">
    <w:name w:val="Body Text"/>
    <w:basedOn w:val="Normale"/>
    <w:link w:val="CorpotestoCarattere"/>
    <w:uiPriority w:val="1"/>
    <w:qFormat/>
    <w:rsid w:val="005E09B4"/>
    <w:pPr>
      <w:widowControl w:val="0"/>
      <w:autoSpaceDE w:val="0"/>
      <w:autoSpaceDN w:val="0"/>
      <w:spacing w:before="4" w:after="0" w:line="240" w:lineRule="auto"/>
      <w:ind w:left="20"/>
    </w:pPr>
    <w:rPr>
      <w:rFonts w:ascii="Avenir 35 Light" w:eastAsia="Avenir 35 Light" w:hAnsi="Avenir 35 Light" w:cs="Avenir 35 Light"/>
      <w:kern w:val="0"/>
      <w:sz w:val="22"/>
      <w:szCs w:val="22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09B4"/>
    <w:rPr>
      <w:rFonts w:ascii="Avenir 35 Light" w:eastAsia="Avenir 35 Light" w:hAnsi="Avenir 35 Light" w:cs="Avenir 35 Light"/>
      <w:kern w:val="0"/>
      <w:sz w:val="22"/>
      <w:szCs w:val="22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5E09B4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5E09B4"/>
    <w:pPr>
      <w:spacing w:after="0" w:line="240" w:lineRule="auto"/>
    </w:pPr>
    <w:rPr>
      <w:rFonts w:eastAsia="MS Mincho"/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E57A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57A7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57A7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7A7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7A77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396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16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8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5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5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4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6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2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0014">
              <w:marLeft w:val="0"/>
              <w:marRight w:val="0"/>
              <w:marTop w:val="0"/>
              <w:marBottom w:val="0"/>
              <w:divBdr>
                <w:top w:val="single" w:sz="6" w:space="0" w:color="E3E5E8"/>
                <w:left w:val="single" w:sz="6" w:space="0" w:color="E3E5E8"/>
                <w:bottom w:val="single" w:sz="6" w:space="0" w:color="E3E5E8"/>
                <w:right w:val="single" w:sz="6" w:space="0" w:color="E3E5E8"/>
              </w:divBdr>
              <w:divsChild>
                <w:div w:id="181837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53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82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46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90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9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7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1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35">
              <w:marLeft w:val="0"/>
              <w:marRight w:val="0"/>
              <w:marTop w:val="0"/>
              <w:marBottom w:val="0"/>
              <w:divBdr>
                <w:top w:val="single" w:sz="6" w:space="0" w:color="E3E5E8"/>
                <w:left w:val="single" w:sz="6" w:space="0" w:color="E3E5E8"/>
                <w:bottom w:val="single" w:sz="6" w:space="0" w:color="E3E5E8"/>
                <w:right w:val="single" w:sz="6" w:space="0" w:color="E3E5E8"/>
              </w:divBdr>
              <w:divsChild>
                <w:div w:id="46230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3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9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1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17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0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0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7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4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2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22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29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9/05/relationships/documenttasks" Target="documenttasks/documenttasks1.xml"/><Relationship Id="rId10" Type="http://schemas.openxmlformats.org/officeDocument/2006/relationships/hyperlink" Target="https://journal.laimburg.it/index.php/laimburg-journal/index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E1B0DAF-3347-4D6E-8ECA-47AD58BB3686}">
    <t:Anchor>
      <t:Comment id="1267623002"/>
    </t:Anchor>
    <t:History>
      <t:Event id="{07F42CC0-2FF9-4C04-BFC2-4A94C38E483A}" time="2025-10-23T11:58:20.219Z">
        <t:Attribution userId="S::dlamcja@unibz.it::41021877-b544-4555-88e0-21adb39277cd" userProvider="AD" userName="Lamcja Debora"/>
        <t:Anchor>
          <t:Comment id="1267623002"/>
        </t:Anchor>
        <t:Create/>
      </t:Event>
      <t:Event id="{91A0339D-C9CF-4D1B-9628-3A96FA49CA3F}" time="2025-10-23T11:58:20.219Z">
        <t:Attribution userId="S::dlamcja@unibz.it::41021877-b544-4555-88e0-21adb39277cd" userProvider="AD" userName="Lamcja Debora"/>
        <t:Anchor>
          <t:Comment id="1267623002"/>
        </t:Anchor>
        <t:Assign userId="S::SeSoppelsa@unibz.it::119ee8a3-09c4-4d1c-8106-dd3c70868ab7" userProvider="AD" userName="Soppelsa Sebastian"/>
      </t:Event>
      <t:Event id="{5C70A4A3-0D8B-4C52-A042-3A41E00B12B8}" time="2025-10-23T11:58:20.219Z">
        <t:Attribution userId="S::dlamcja@unibz.it::41021877-b544-4555-88e0-21adb39277cd" userProvider="AD" userName="Lamcja Debora"/>
        <t:Anchor>
          <t:Comment id="1267623002"/>
        </t:Anchor>
        <t:SetTitle title="@Soppelsa Sebastian sono sia menta piperita che menta fragola o solo una delle due? sarebbe importante specificare.."/>
      </t:Event>
    </t:History>
  </t:Task>
</t:Task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ECB24981696488E13792965A6A639" ma:contentTypeVersion="12" ma:contentTypeDescription="Create a new document." ma:contentTypeScope="" ma:versionID="3a3139bf26e168ab5ca62548952385cf">
  <xsd:schema xmlns:xsd="http://www.w3.org/2001/XMLSchema" xmlns:xs="http://www.w3.org/2001/XMLSchema" xmlns:p="http://schemas.microsoft.com/office/2006/metadata/properties" xmlns:ns2="e3e2876d-5e92-4c47-aeb7-cd396c4fa207" xmlns:ns3="1d45d954-9791-49be-aba7-0f949c5d2846" targetNamespace="http://schemas.microsoft.com/office/2006/metadata/properties" ma:root="true" ma:fieldsID="3aa281229bf3a4953b4629cab2cdce92" ns2:_="" ns3:_="">
    <xsd:import namespace="e3e2876d-5e92-4c47-aeb7-cd396c4fa207"/>
    <xsd:import namespace="1d45d954-9791-49be-aba7-0f949c5d2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2876d-5e92-4c47-aeb7-cd396c4fa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edd1c77-ecac-4adc-8928-a4b79cad4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5d954-9791-49be-aba7-0f949c5d28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80c4e1-7e36-4fe4-b8bd-81bb79e36af3}" ma:internalName="TaxCatchAll" ma:showField="CatchAllData" ma:web="1d45d954-9791-49be-aba7-0f949c5d28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2876d-5e92-4c47-aeb7-cd396c4fa207">
      <Terms xmlns="http://schemas.microsoft.com/office/infopath/2007/PartnerControls"/>
    </lcf76f155ced4ddcb4097134ff3c332f>
    <TaxCatchAll xmlns="1d45d954-9791-49be-aba7-0f949c5d2846" xsi:nil="true"/>
  </documentManagement>
</p:properties>
</file>

<file path=customXml/itemProps1.xml><?xml version="1.0" encoding="utf-8"?>
<ds:datastoreItem xmlns:ds="http://schemas.openxmlformats.org/officeDocument/2006/customXml" ds:itemID="{8B48708F-700A-4053-BD4F-29B89C7A11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7EDE6E-6111-46AF-A7B4-C55AA290C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2876d-5e92-4c47-aeb7-cd396c4fa207"/>
    <ds:schemaRef ds:uri="1d45d954-9791-49be-aba7-0f949c5d2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AC945F-20D5-47DD-9EB2-9AD383BFAA0F}">
  <ds:schemaRefs>
    <ds:schemaRef ds:uri="http://schemas.microsoft.com/office/2006/metadata/properties"/>
    <ds:schemaRef ds:uri="http://schemas.microsoft.com/office/infopath/2007/PartnerControls"/>
    <ds:schemaRef ds:uri="e3e2876d-5e92-4c47-aeb7-cd396c4fa207"/>
    <ds:schemaRef ds:uri="1d45d954-9791-49be-aba7-0f949c5d28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1401</Words>
  <Characters>8256</Characters>
  <Application>Microsoft Office Word</Application>
  <DocSecurity>0</DocSecurity>
  <Lines>129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Lamcja Debora</dc:creator>
  <cp:keywords/>
  <dc:description/>
  <cp:lastModifiedBy>Rizzo Julia</cp:lastModifiedBy>
  <cp:revision>100</cp:revision>
  <dcterms:created xsi:type="dcterms:W3CDTF">2026-01-15T13:10:00Z</dcterms:created>
  <dcterms:modified xsi:type="dcterms:W3CDTF">2026-03-19T11:41:00Z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0x010100E85ECB24981696488E13792965A6A639</vt:lpwstr>
  </property>
  <property fmtid="{D5CDD505-2E9C-101B-9397-08002B2CF9AE}" pid="3" name="docLang">
    <vt:lpwstr>it</vt:lpwstr>
  </property>
  <property fmtid="{D5CDD505-2E9C-101B-9397-08002B2CF9AE}" pid="4" name="MediaServiceImageTags">
    <vt:lpwstr/>
  </property>
</Properties>
</file>